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40C2A4">
      <w:pPr>
        <w:ind w:firstLine="643" w:firstLineChars="200"/>
        <w:jc w:val="center"/>
        <w:rPr>
          <w:rFonts w:hint="eastAsia" w:ascii="宋体" w:hAnsi="宋体" w:cs="宋体"/>
          <w:bCs/>
          <w:szCs w:val="21"/>
        </w:rPr>
      </w:pPr>
      <w:r>
        <w:rPr>
          <w:rFonts w:hint="eastAsia" w:ascii="宋体" w:hAnsi="宋体" w:cs="宋体"/>
          <w:b/>
          <w:bCs/>
          <w:sz w:val="32"/>
          <w:szCs w:val="32"/>
        </w:rPr>
        <w:t>采购项目概况</w:t>
      </w:r>
    </w:p>
    <w:p w14:paraId="019715AF">
      <w:pPr>
        <w:pStyle w:val="2"/>
        <w:jc w:val="center"/>
        <w:rPr>
          <w:rFonts w:hint="eastAsia"/>
          <w:b/>
          <w:bCs/>
          <w:sz w:val="32"/>
          <w:szCs w:val="32"/>
        </w:rPr>
      </w:pPr>
    </w:p>
    <w:p w14:paraId="4856A5E6">
      <w:pPr>
        <w:pStyle w:val="2"/>
        <w:keepNext w:val="0"/>
        <w:keepLines w:val="0"/>
        <w:pageBreakBefore w:val="0"/>
        <w:numPr>
          <w:numId w:val="0"/>
        </w:numPr>
        <w:kinsoku/>
        <w:wordWrap/>
        <w:overflowPunct/>
        <w:topLinePunct w:val="0"/>
        <w:autoSpaceDE/>
        <w:autoSpaceDN/>
        <w:bidi w:val="0"/>
        <w:adjustRightInd w:val="0"/>
        <w:snapToGrid w:val="0"/>
        <w:spacing w:before="0" w:after="0"/>
        <w:ind w:firstLine="420" w:firstLineChars="200"/>
        <w:jc w:val="left"/>
        <w:textAlignment w:val="auto"/>
        <w:rPr>
          <w:rFonts w:hint="eastAsia" w:ascii="宋体" w:hAnsi="宋体" w:cs="宋体" w:eastAsiaTheme="minorEastAsia"/>
          <w:b w:val="0"/>
          <w:bCs/>
          <w:sz w:val="21"/>
          <w:szCs w:val="21"/>
        </w:rPr>
      </w:pPr>
      <w:r>
        <w:rPr>
          <w:rFonts w:hint="eastAsia" w:ascii="宋体" w:hAnsi="宋体" w:cs="宋体" w:eastAsiaTheme="minorEastAsia"/>
          <w:b w:val="0"/>
          <w:bCs/>
          <w:sz w:val="21"/>
          <w:szCs w:val="21"/>
          <w:lang w:val="en-US" w:eastAsia="zh-CN"/>
        </w:rPr>
        <w:t>1.</w:t>
      </w:r>
      <w:r>
        <w:rPr>
          <w:rFonts w:hint="eastAsia" w:ascii="宋体" w:hAnsi="宋体" w:cs="宋体" w:eastAsiaTheme="minorEastAsia"/>
          <w:b w:val="0"/>
          <w:bCs/>
          <w:sz w:val="21"/>
          <w:szCs w:val="21"/>
        </w:rPr>
        <w:t>采购项目名称：</w:t>
      </w:r>
      <w:r>
        <w:rPr>
          <w:rFonts w:hint="eastAsia" w:ascii="宋体" w:hAnsi="宋体" w:cs="宋体" w:eastAsiaTheme="minorEastAsia"/>
          <w:b w:val="0"/>
          <w:bCs/>
          <w:sz w:val="21"/>
          <w:szCs w:val="21"/>
          <w:lang w:val="en-US" w:eastAsia="zh-CN"/>
        </w:rPr>
        <w:t xml:space="preserve"> </w:t>
      </w:r>
      <w:r>
        <w:rPr>
          <w:rFonts w:hint="eastAsia" w:ascii="宋体" w:hAnsi="宋体" w:cs="宋体" w:eastAsiaTheme="minorEastAsia"/>
          <w:b w:val="0"/>
          <w:bCs/>
          <w:sz w:val="21"/>
          <w:szCs w:val="21"/>
        </w:rPr>
        <w:t>广州市普惠托育医育融合示范基地购置发育偏离儿童照护培训和干预工具箱采购需求</w:t>
      </w:r>
    </w:p>
    <w:p w14:paraId="3B193C2E">
      <w:pPr>
        <w:pStyle w:val="2"/>
        <w:keepNext w:val="0"/>
        <w:keepLines w:val="0"/>
        <w:pageBreakBefore w:val="0"/>
        <w:numPr>
          <w:numId w:val="0"/>
        </w:numPr>
        <w:kinsoku/>
        <w:wordWrap/>
        <w:overflowPunct/>
        <w:topLinePunct w:val="0"/>
        <w:autoSpaceDE/>
        <w:autoSpaceDN/>
        <w:bidi w:val="0"/>
        <w:adjustRightInd w:val="0"/>
        <w:snapToGrid w:val="0"/>
        <w:spacing w:before="0" w:after="0"/>
        <w:ind w:firstLine="420" w:firstLineChars="200"/>
        <w:jc w:val="left"/>
        <w:textAlignment w:val="auto"/>
        <w:rPr>
          <w:rFonts w:hint="eastAsia" w:ascii="宋体" w:hAnsi="宋体" w:cs="宋体"/>
          <w:iCs/>
          <w:szCs w:val="21"/>
        </w:rPr>
      </w:pPr>
      <w:r>
        <w:rPr>
          <w:rFonts w:hint="eastAsia" w:ascii="宋体" w:hAnsi="宋体" w:cs="宋体" w:eastAsiaTheme="minorEastAsia"/>
          <w:b w:val="0"/>
          <w:bCs/>
          <w:sz w:val="21"/>
          <w:szCs w:val="21"/>
        </w:rPr>
        <w:t>2.采购人名称：</w:t>
      </w:r>
      <w:r>
        <w:rPr>
          <w:rFonts w:hint="eastAsia" w:ascii="宋体" w:hAnsi="宋体" w:cs="宋体" w:eastAsiaTheme="minorEastAsia"/>
          <w:b w:val="0"/>
          <w:bCs/>
          <w:sz w:val="21"/>
          <w:szCs w:val="21"/>
          <w:lang w:val="en-US" w:eastAsia="zh-CN"/>
        </w:rPr>
        <w:t xml:space="preserve"> </w:t>
      </w:r>
      <w:r>
        <w:rPr>
          <w:rFonts w:hint="eastAsia" w:ascii="宋体" w:hAnsi="宋体" w:cs="宋体" w:eastAsiaTheme="minorEastAsia"/>
          <w:b w:val="0"/>
          <w:bCs/>
          <w:sz w:val="21"/>
          <w:szCs w:val="21"/>
        </w:rPr>
        <w:t>广州医科大学附属妇女儿童医疗中心</w:t>
      </w:r>
      <w:r>
        <w:rPr>
          <w:rFonts w:hint="eastAsia" w:ascii="宋体" w:hAnsi="宋体" w:cs="宋体" w:eastAsiaTheme="minorEastAsia"/>
          <w:b w:val="0"/>
          <w:bCs/>
          <w:sz w:val="21"/>
          <w:szCs w:val="21"/>
          <w:lang w:val="en-US" w:eastAsia="zh-CN"/>
        </w:rPr>
        <w:t xml:space="preserve"> </w:t>
      </w:r>
    </w:p>
    <w:p w14:paraId="0BB2E33E">
      <w:pPr>
        <w:keepNext w:val="0"/>
        <w:keepLines w:val="0"/>
        <w:pageBreakBefore w:val="0"/>
        <w:kinsoku/>
        <w:wordWrap/>
        <w:overflowPunct/>
        <w:topLinePunct w:val="0"/>
        <w:autoSpaceDE/>
        <w:autoSpaceDN/>
        <w:bidi w:val="0"/>
        <w:adjustRightInd w:val="0"/>
        <w:snapToGrid w:val="0"/>
        <w:ind w:firstLine="420" w:firstLineChars="200"/>
        <w:jc w:val="left"/>
        <w:textAlignment w:val="auto"/>
        <w:rPr>
          <w:rFonts w:hint="eastAsia" w:ascii="宋体" w:hAnsi="宋体" w:cs="宋体"/>
          <w:iCs/>
          <w:szCs w:val="21"/>
        </w:rPr>
      </w:pPr>
      <w:r>
        <w:rPr>
          <w:rFonts w:hint="eastAsia" w:ascii="宋体" w:hAnsi="宋体" w:cs="宋体"/>
          <w:iCs/>
          <w:szCs w:val="21"/>
        </w:rPr>
        <w:t>3.采购项目概况：</w:t>
      </w:r>
    </w:p>
    <w:p w14:paraId="214F2DC1">
      <w:pPr>
        <w:keepNext w:val="0"/>
        <w:keepLines w:val="0"/>
        <w:pageBreakBefore w:val="0"/>
        <w:kinsoku/>
        <w:wordWrap/>
        <w:overflowPunct/>
        <w:topLinePunct w:val="0"/>
        <w:autoSpaceDE/>
        <w:autoSpaceDN/>
        <w:bidi w:val="0"/>
        <w:adjustRightInd w:val="0"/>
        <w:snapToGrid w:val="0"/>
        <w:ind w:firstLine="422" w:firstLineChars="200"/>
        <w:jc w:val="left"/>
        <w:textAlignment w:val="auto"/>
        <w:rPr>
          <w:rFonts w:ascii="宋体" w:hAnsi="宋体" w:cs="宋体"/>
          <w:szCs w:val="21"/>
        </w:rPr>
      </w:pPr>
      <w:r>
        <w:rPr>
          <w:rFonts w:hint="eastAsia" w:ascii="宋体" w:hAnsi="宋体" w:cs="宋体"/>
          <w:b/>
          <w:bCs/>
          <w:szCs w:val="21"/>
        </w:rPr>
        <w:t>项目背景：</w:t>
      </w:r>
      <w:r>
        <w:rPr>
          <w:rFonts w:hint="eastAsia" w:ascii="宋体" w:hAnsi="宋体" w:cs="宋体"/>
          <w:szCs w:val="21"/>
          <w:lang w:val="en-US" w:eastAsia="zh-CN"/>
        </w:rPr>
        <w:t>根据《广州市普惠托育服务发展示范项目实施方案系列子方案》中《“医育结合”下的儿童全生命周期健康服务管理项目》要求，需关爱发育偏离及发育特殊婴幼儿，每个区建设开展医育融合特教</w:t>
      </w:r>
      <w:bookmarkStart w:id="0" w:name="_GoBack"/>
      <w:bookmarkEnd w:id="0"/>
      <w:r>
        <w:rPr>
          <w:rFonts w:hint="eastAsia" w:ascii="宋体" w:hAnsi="宋体" w:cs="宋体"/>
          <w:szCs w:val="21"/>
          <w:lang w:val="en-US" w:eastAsia="zh-CN"/>
        </w:rPr>
        <w:t>班的托育机构示范点，开设托育机构“关爱班”，开展托育机构关爱班老师开展发育异常儿童照护服务的专业培训。</w:t>
      </w:r>
    </w:p>
    <w:p w14:paraId="1407B24E">
      <w:pPr>
        <w:ind w:firstLine="422" w:firstLineChars="200"/>
        <w:rPr>
          <w:rFonts w:ascii="宋体" w:hAnsi="宋体" w:cs="宋体"/>
          <w:szCs w:val="21"/>
        </w:rPr>
      </w:pPr>
      <w:r>
        <w:rPr>
          <w:rFonts w:hint="eastAsia" w:ascii="宋体" w:hAnsi="宋体" w:cs="宋体"/>
          <w:b/>
          <w:bCs/>
          <w:szCs w:val="21"/>
        </w:rPr>
        <w:t>实现功能要求：</w:t>
      </w:r>
      <w:r>
        <w:rPr>
          <w:rFonts w:hint="eastAsia" w:ascii="宋体" w:hAnsi="宋体" w:cs="宋体"/>
          <w:szCs w:val="21"/>
        </w:rPr>
        <w:t>项目要求成交供应商需完成采买教玩具</w:t>
      </w:r>
      <w:r>
        <w:rPr>
          <w:rFonts w:ascii="宋体" w:hAnsi="宋体" w:cs="宋体"/>
          <w:szCs w:val="21"/>
        </w:rPr>
        <w:t>服务</w:t>
      </w:r>
      <w:r>
        <w:rPr>
          <w:rFonts w:hint="eastAsia" w:ascii="宋体" w:hAnsi="宋体" w:cs="宋体"/>
          <w:szCs w:val="21"/>
          <w:lang w:eastAsia="zh-CN"/>
        </w:rPr>
        <w:t>，</w:t>
      </w:r>
      <w:r>
        <w:rPr>
          <w:rFonts w:hint="eastAsia" w:ascii="宋体" w:hAnsi="宋体" w:cs="宋体"/>
          <w:szCs w:val="21"/>
          <w:lang w:val="en-US" w:eastAsia="zh-CN"/>
        </w:rPr>
        <w:t>并质保一年</w:t>
      </w:r>
      <w:r>
        <w:rPr>
          <w:rFonts w:hint="eastAsia" w:ascii="宋体" w:hAnsi="宋体" w:cs="宋体"/>
          <w:szCs w:val="21"/>
        </w:rPr>
        <w:t>。</w:t>
      </w:r>
    </w:p>
    <w:p w14:paraId="1A4B0A86">
      <w:pPr>
        <w:ind w:firstLine="422" w:firstLineChars="200"/>
        <w:rPr>
          <w:rFonts w:hint="eastAsia" w:ascii="宋体" w:hAnsi="宋体" w:cs="宋体"/>
          <w:b/>
          <w:bCs/>
          <w:szCs w:val="21"/>
        </w:rPr>
      </w:pPr>
      <w:r>
        <w:rPr>
          <w:rFonts w:hint="eastAsia" w:ascii="宋体" w:hAnsi="宋体" w:cs="宋体"/>
          <w:b/>
          <w:bCs/>
          <w:szCs w:val="21"/>
        </w:rPr>
        <w:t>采购目标：</w:t>
      </w:r>
    </w:p>
    <w:p w14:paraId="6E52EB81">
      <w:pPr>
        <w:rPr>
          <w:rFonts w:hint="eastAsia"/>
        </w:rPr>
      </w:pPr>
    </w:p>
    <w:tbl>
      <w:tblPr>
        <w:tblStyle w:val="10"/>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630"/>
        <w:gridCol w:w="2396"/>
        <w:gridCol w:w="4823"/>
        <w:gridCol w:w="1393"/>
      </w:tblGrid>
      <w:tr w14:paraId="6BD5A3A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B810083">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序号</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1AF645C">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物品名称</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E4204FB">
            <w:pPr>
              <w:keepNext w:val="0"/>
              <w:keepLines w:val="0"/>
              <w:widowControl/>
              <w:suppressLineNumbers w:val="0"/>
              <w:jc w:val="center"/>
              <w:textAlignment w:val="center"/>
              <w:rPr>
                <w:rFonts w:hint="eastAsia" w:ascii="宋体" w:hAnsi="宋体" w:eastAsia="宋体" w:cs="宋体"/>
                <w:b/>
                <w:bCs/>
                <w:i w:val="0"/>
                <w:iCs w:val="0"/>
                <w:color w:val="000000"/>
                <w:sz w:val="21"/>
                <w:szCs w:val="21"/>
                <w:u w:val="none"/>
              </w:rPr>
            </w:pPr>
            <w:r>
              <w:rPr>
                <w:rFonts w:hint="eastAsia" w:ascii="宋体" w:hAnsi="宋体" w:eastAsia="宋体" w:cs="宋体"/>
                <w:b/>
                <w:bCs/>
                <w:i w:val="0"/>
                <w:iCs w:val="0"/>
                <w:color w:val="000000"/>
                <w:kern w:val="0"/>
                <w:sz w:val="21"/>
                <w:szCs w:val="21"/>
                <w:u w:val="none"/>
                <w:lang w:val="en-US" w:eastAsia="zh-CN" w:bidi="ar"/>
              </w:rPr>
              <w:t>物品明细/标准件套</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3B203B">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总数量</w:t>
            </w:r>
            <w:r>
              <w:rPr>
                <w:rFonts w:hint="eastAsia" w:ascii="宋体" w:hAnsi="宋体" w:eastAsia="宋体" w:cs="宋体"/>
                <w:b/>
                <w:bCs/>
                <w:i w:val="0"/>
                <w:iCs w:val="0"/>
                <w:color w:val="000000"/>
                <w:kern w:val="0"/>
                <w:sz w:val="24"/>
                <w:szCs w:val="24"/>
                <w:u w:val="none"/>
                <w:lang w:val="en-US" w:eastAsia="zh-CN" w:bidi="ar"/>
              </w:rPr>
              <w:br w:type="textWrapping"/>
            </w:r>
            <w:r>
              <w:rPr>
                <w:rFonts w:hint="eastAsia" w:ascii="宋体" w:hAnsi="宋体" w:eastAsia="宋体" w:cs="宋体"/>
                <w:b/>
                <w:bCs/>
                <w:i w:val="0"/>
                <w:iCs w:val="0"/>
                <w:color w:val="000000"/>
                <w:kern w:val="0"/>
                <w:sz w:val="24"/>
                <w:szCs w:val="24"/>
                <w:u w:val="none"/>
                <w:lang w:val="en-US" w:eastAsia="zh-CN" w:bidi="ar"/>
              </w:rPr>
              <w:t>（个/件/套）</w:t>
            </w:r>
          </w:p>
        </w:tc>
      </w:tr>
      <w:tr w14:paraId="00C0B53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79E4F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B8FD4F">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0-3岁儿童发展评估工具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（含操作使用培训）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58850C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0-3岁儿童发展评估工具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（含操作使用培训）</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79007D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1BD2EDB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6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DA63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A61CF8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结构化教学教具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（儿童个人工作）</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（含使用培训）</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E39A223">
            <w:pPr>
              <w:keepNext w:val="0"/>
              <w:keepLines w:val="0"/>
              <w:widowControl/>
              <w:suppressLineNumbers w:val="0"/>
              <w:jc w:val="left"/>
              <w:textAlignment w:val="center"/>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结构化教学教具</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（儿童个人工作）</w:t>
            </w:r>
            <w:r>
              <w:rPr>
                <w:rFonts w:hint="eastAsia" w:ascii="宋体" w:hAnsi="宋体" w:eastAsia="宋体" w:cs="宋体"/>
                <w:i w:val="0"/>
                <w:iCs w:val="0"/>
                <w:color w:val="000000"/>
                <w:kern w:val="0"/>
                <w:sz w:val="20"/>
                <w:szCs w:val="20"/>
                <w:u w:val="none"/>
                <w:lang w:val="en-US" w:eastAsia="zh-CN" w:bidi="ar"/>
              </w:rPr>
              <w:br w:type="textWrapping"/>
            </w:r>
            <w:r>
              <w:rPr>
                <w:rFonts w:hint="eastAsia" w:ascii="宋体" w:hAnsi="宋体" w:eastAsia="宋体" w:cs="宋体"/>
                <w:i w:val="0"/>
                <w:iCs w:val="0"/>
                <w:color w:val="000000"/>
                <w:kern w:val="0"/>
                <w:sz w:val="20"/>
                <w:szCs w:val="20"/>
                <w:u w:val="none"/>
                <w:lang w:val="en-US" w:eastAsia="zh-CN" w:bidi="ar"/>
              </w:rPr>
              <w:t>（含使用培训）</w:t>
            </w:r>
          </w:p>
        </w:tc>
        <w:tc>
          <w:tcPr>
            <w:tcW w:w="0" w:type="auto"/>
            <w:tcBorders>
              <w:top w:val="single" w:color="000000" w:sz="4" w:space="0"/>
              <w:left w:val="single" w:color="000000" w:sz="4" w:space="0"/>
              <w:bottom w:val="nil"/>
              <w:right w:val="single" w:color="000000" w:sz="4" w:space="0"/>
            </w:tcBorders>
            <w:shd w:val="clear" w:color="auto" w:fill="auto"/>
            <w:noWrap/>
            <w:vAlign w:val="center"/>
          </w:tcPr>
          <w:p w14:paraId="0D9745E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70F4A6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8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0748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16</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35D2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0-3岁儿童教玩具</w:t>
            </w:r>
          </w:p>
        </w:tc>
        <w:tc>
          <w:tcPr>
            <w:tcW w:w="0" w:type="auto"/>
            <w:tcBorders>
              <w:top w:val="single" w:color="000000" w:sz="4" w:space="0"/>
              <w:left w:val="nil"/>
              <w:bottom w:val="single" w:color="000000" w:sz="4" w:space="0"/>
              <w:right w:val="single" w:color="000000" w:sz="4" w:space="0"/>
            </w:tcBorders>
            <w:shd w:val="clear" w:color="auto" w:fill="auto"/>
            <w:vAlign w:val="center"/>
          </w:tcPr>
          <w:p w14:paraId="6FE47B7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轨道溜溜车，1件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8FA9C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7A6DB6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1AAC3C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F1262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BDB6BA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大眼怪数字天平，1件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6C6235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1A86640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59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521D574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503D0F9">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8E86C1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数与量学习-插萝卜游戏，1件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1A385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6AFBE7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188B6F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19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DF328A">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00A8FE0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乖乖熊，1套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484AA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674502B4">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FE693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B7E892">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C1B98B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工程车组，1套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BB252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31E83F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340C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FA2F75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13456EF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农场动物模型，1套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7DA6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01A82CB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03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A97DC9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49A8A6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AC673B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串珠游戏盒，1套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DC1D5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450CFF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52"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A72389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9FE17D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639380D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苹果/虫子，1件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3B2D3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3B51B96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C5820C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24</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BE9BFEB">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0FA7604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老鼠/奶酪，1件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82FD22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78032A7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016"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0B4E62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4D7BD0">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56E92FC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穿线套装，1件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F609183">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6051CEE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4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281D9E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310BA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62CE4F44">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创意堆叠套，1套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96F0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41D6DA8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28"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636B3B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27</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1A2318">
            <w:pPr>
              <w:jc w:val="center"/>
              <w:rPr>
                <w:rFonts w:hint="eastAsia" w:ascii="宋体" w:hAnsi="宋体" w:eastAsia="宋体" w:cs="宋体"/>
                <w:i w:val="0"/>
                <w:iCs w:val="0"/>
                <w:color w:val="000000"/>
                <w:sz w:val="22"/>
                <w:szCs w:val="22"/>
                <w:u w:val="none"/>
              </w:rPr>
            </w:pPr>
          </w:p>
        </w:tc>
        <w:tc>
          <w:tcPr>
            <w:tcW w:w="0" w:type="auto"/>
            <w:tcBorders>
              <w:top w:val="nil"/>
              <w:left w:val="nil"/>
              <w:bottom w:val="nil"/>
              <w:right w:val="nil"/>
            </w:tcBorders>
            <w:shd w:val="clear" w:color="auto" w:fill="auto"/>
            <w:vAlign w:val="center"/>
          </w:tcPr>
          <w:p w14:paraId="01011CC2">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堆叠火箭，1套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3F60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02D942A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8"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CABEF4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0D36D7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5C210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大小及长短学习套筒，1套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3613EA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0FA43D3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016"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15AEB6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3FD6DE">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647A1BCF">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动物形状分类屋，1件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C0F0B4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671DA2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0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31A3276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30</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9ADF2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F082CE7">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蔬菜切切乐，1套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BC43E2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3F1291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8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6C6CD7B7">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31</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53983BB5">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65B0C4E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平衡训练腰带2件套，1套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237328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78C9C24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0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1F3BE8D8">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32</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9A5F637">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3148AA6A">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托蛋平衡游戏，1件</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00AC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797F3A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4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980027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33</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5BD6D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nil"/>
              <w:bottom w:val="single" w:color="000000" w:sz="4" w:space="0"/>
              <w:right w:val="single" w:color="000000" w:sz="4" w:space="0"/>
            </w:tcBorders>
            <w:shd w:val="clear" w:color="auto" w:fill="auto"/>
            <w:vAlign w:val="center"/>
          </w:tcPr>
          <w:p w14:paraId="4524D86D">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感统平衡木套装，1套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220CD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278F03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896"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68A4E43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34</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1140B4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感统训练教具</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（含操作使用培训）</w:t>
            </w: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37DBBBE9">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蜂蜜步道,1套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15A81B">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1A551E5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744"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4061D51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35</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D51269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9296EDE">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彩虹河石，1套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37EA185">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281994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168"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5B6E7F8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36</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628C9C">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nil"/>
            </w:tcBorders>
            <w:shd w:val="clear" w:color="auto" w:fill="auto"/>
            <w:noWrap/>
            <w:vAlign w:val="center"/>
          </w:tcPr>
          <w:p w14:paraId="58DFB5FC">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花瓣岩，1套</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661BB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1B3533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40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70DC6A7C">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37</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D2819D9">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专业书籍</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12C2E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儿童学习纲领与儿童发展评估表（简体版），1套（2本）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AA3B974">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5991741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56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0ED0B52D">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38</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6CEBD8D">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FABB43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孤独症儿童训练指南（简体版），1套（6本）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7B72B0">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537A59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2408D172">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2CAB0D51">
            <w:pPr>
              <w:jc w:val="center"/>
              <w:rPr>
                <w:rFonts w:hint="eastAsia" w:ascii="宋体" w:hAnsi="宋体" w:eastAsia="宋体" w:cs="宋体"/>
                <w:i w:val="0"/>
                <w:iCs w:val="0"/>
                <w:color w:val="000000"/>
                <w:sz w:val="22"/>
                <w:szCs w:val="22"/>
                <w:u w:val="none"/>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0ED371">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单元学习活动方案，1套（11本）</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7F9FC6E">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39</w:t>
            </w:r>
          </w:p>
        </w:tc>
      </w:tr>
      <w:tr w14:paraId="1C401D6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40" w:hRule="atLeast"/>
        </w:trPr>
        <w:tc>
          <w:tcPr>
            <w:tcW w:w="0" w:type="auto"/>
            <w:tcBorders>
              <w:top w:val="single" w:color="000000" w:sz="4" w:space="0"/>
              <w:left w:val="single" w:color="000000" w:sz="4" w:space="0"/>
              <w:bottom w:val="single" w:color="000000" w:sz="4" w:space="0"/>
              <w:right w:val="nil"/>
            </w:tcBorders>
            <w:shd w:val="clear" w:color="auto" w:fill="auto"/>
            <w:noWrap/>
            <w:vAlign w:val="center"/>
          </w:tcPr>
          <w:p w14:paraId="6A6E7BBE">
            <w:pPr>
              <w:jc w:val="center"/>
              <w:rPr>
                <w:rFonts w:hint="eastAsia" w:ascii="宋体" w:hAnsi="宋体" w:eastAsia="宋体" w:cs="宋体"/>
                <w:i w:val="0"/>
                <w:iCs w:val="0"/>
                <w:color w:val="000000"/>
                <w:sz w:val="22"/>
                <w:szCs w:val="22"/>
                <w:u w:val="none"/>
              </w:rPr>
            </w:pP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0B8AE771">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ADOS评估工具箱</w:t>
            </w:r>
          </w:p>
        </w:tc>
        <w:tc>
          <w:tcPr>
            <w:tcW w:w="0" w:type="auto"/>
            <w:tcBorders>
              <w:top w:val="nil"/>
              <w:left w:val="single" w:color="000000" w:sz="4" w:space="0"/>
              <w:bottom w:val="single" w:color="000000" w:sz="4" w:space="0"/>
              <w:right w:val="single" w:color="000000" w:sz="4" w:space="0"/>
            </w:tcBorders>
            <w:shd w:val="clear" w:color="auto" w:fill="auto"/>
            <w:noWrap/>
            <w:vAlign w:val="center"/>
          </w:tcPr>
          <w:p w14:paraId="69DBE85A">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ADOS评估工具箱套装</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43D79E6">
            <w:pPr>
              <w:keepNext w:val="0"/>
              <w:keepLines w:val="0"/>
              <w:widowControl/>
              <w:suppressLineNumbers w:val="0"/>
              <w:jc w:val="center"/>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2</w:t>
            </w:r>
          </w:p>
        </w:tc>
      </w:tr>
    </w:tbl>
    <w:p w14:paraId="7555464F">
      <w:pPr>
        <w:pStyle w:val="16"/>
        <w:rPr>
          <w:rFonts w:hint="eastAsia" w:ascii="方正仿宋_GB2312" w:hAnsi="方正仿宋_GB2312" w:eastAsia="方正仿宋_GB2312" w:cs="方正仿宋_GB2312"/>
          <w:sz w:val="32"/>
          <w:szCs w:val="32"/>
        </w:rPr>
      </w:pPr>
    </w:p>
    <w:sectPr>
      <w:pgSz w:w="11906" w:h="16838"/>
      <w:pgMar w:top="1440" w:right="1440" w:bottom="1440" w:left="1440" w:header="708" w:footer="709" w:gutter="0"/>
      <w:cols w:space="0" w:num="1"/>
      <w:rtlGutter w:val="0"/>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仿宋_GB2312">
    <w:panose1 w:val="02000000000000000000"/>
    <w:charset w:val="86"/>
    <w:family w:val="auto"/>
    <w:pitch w:val="default"/>
    <w:sig w:usb0="A00002BF" w:usb1="184F6CFA" w:usb2="00000012" w:usb3="00000000" w:csb0="00040001" w:csb1="00000000"/>
    <w:embedRegular r:id="rId1" w:fontKey="{1BC8E6B2-4B44-4A33-99FA-96FFB4DF7C87}"/>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doNotDisplayPageBoundaries w:val="1"/>
  <w:displayBackgroundShape w:val="1"/>
  <w:embedTrueTypeFonts/>
  <w:saveSubsetFonts/>
  <w:bordersDoNotSurroundHeader w:val="0"/>
  <w:bordersDoNotSurroundFooter w:val="0"/>
  <w:documentProtection w:enforcement="0"/>
  <w:displayHorizontalDrawingGridEvery w:val="1"/>
  <w:displayVerticalDrawingGridEvery w:val="1"/>
  <w:noPunctuationKerning w:val="1"/>
  <w:compat>
    <w:doNotExpandShiftReturn/>
    <w:doNotWrapTextWithPunct/>
    <w:doNotUseEastAsianBreakRules/>
    <w:useFELayout/>
    <w:compatSetting w:name="compatibilityMode" w:uri="http://schemas.microsoft.com/office/word" w:val="15"/>
  </w:compat>
  <w:rsids>
    <w:rsidRoot w:val="00000000"/>
    <w:rsid w:val="00621C19"/>
    <w:rsid w:val="01816EBF"/>
    <w:rsid w:val="03F31506"/>
    <w:rsid w:val="09035C31"/>
    <w:rsid w:val="11111FAE"/>
    <w:rsid w:val="1F3A078A"/>
    <w:rsid w:val="20FB4D07"/>
    <w:rsid w:val="3AD41AF9"/>
    <w:rsid w:val="3DF23E6C"/>
    <w:rsid w:val="532F6D06"/>
    <w:rsid w:val="54D92AD5"/>
    <w:rsid w:val="5B3638AB"/>
    <w:rsid w:val="60A440DC"/>
    <w:rsid w:val="70A5281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next w:val="1"/>
    <w:qFormat/>
    <w:uiPriority w:val="0"/>
    <w:pPr>
      <w:spacing w:before="380" w:after="140" w:line="288" w:lineRule="auto"/>
      <w:ind w:left="0"/>
      <w:jc w:val="left"/>
      <w:outlineLvl w:val="0"/>
    </w:pPr>
    <w:rPr>
      <w:rFonts w:ascii="Arial" w:hAnsi="Arial" w:eastAsia="等线" w:cs="Arial"/>
      <w:b/>
      <w:bCs/>
      <w:sz w:val="36"/>
      <w:szCs w:val="36"/>
    </w:rPr>
  </w:style>
  <w:style w:type="paragraph" w:styleId="3">
    <w:name w:val="heading 2"/>
    <w:next w:val="1"/>
    <w:qFormat/>
    <w:uiPriority w:val="0"/>
    <w:pPr>
      <w:spacing w:before="320" w:after="120" w:line="288" w:lineRule="auto"/>
      <w:ind w:left="0"/>
      <w:jc w:val="left"/>
      <w:outlineLvl w:val="1"/>
    </w:pPr>
    <w:rPr>
      <w:rFonts w:ascii="Arial" w:hAnsi="Arial" w:eastAsia="等线" w:cs="Arial"/>
      <w:b/>
      <w:bCs/>
      <w:sz w:val="32"/>
      <w:szCs w:val="32"/>
    </w:rPr>
  </w:style>
  <w:style w:type="paragraph" w:styleId="4">
    <w:name w:val="heading 3"/>
    <w:next w:val="1"/>
    <w:qFormat/>
    <w:uiPriority w:val="0"/>
    <w:pPr>
      <w:spacing w:before="300" w:after="120" w:line="288" w:lineRule="auto"/>
      <w:ind w:left="0"/>
      <w:jc w:val="left"/>
      <w:outlineLvl w:val="2"/>
    </w:pPr>
    <w:rPr>
      <w:rFonts w:ascii="Arial" w:hAnsi="Arial" w:eastAsia="等线" w:cs="Arial"/>
      <w:b/>
      <w:bCs/>
      <w:sz w:val="30"/>
      <w:szCs w:val="30"/>
    </w:rPr>
  </w:style>
  <w:style w:type="paragraph" w:styleId="5">
    <w:name w:val="heading 4"/>
    <w:next w:val="1"/>
    <w:qFormat/>
    <w:uiPriority w:val="0"/>
    <w:pPr>
      <w:spacing w:before="260" w:after="120" w:line="288" w:lineRule="auto"/>
      <w:ind w:left="0"/>
      <w:jc w:val="left"/>
      <w:outlineLvl w:val="3"/>
    </w:pPr>
    <w:rPr>
      <w:rFonts w:ascii="Arial" w:hAnsi="Arial" w:eastAsia="等线" w:cs="Arial"/>
      <w:b/>
      <w:bCs/>
      <w:sz w:val="28"/>
      <w:szCs w:val="28"/>
    </w:rPr>
  </w:style>
  <w:style w:type="paragraph" w:styleId="6">
    <w:name w:val="heading 5"/>
    <w:next w:val="1"/>
    <w:qFormat/>
    <w:uiPriority w:val="0"/>
    <w:pPr>
      <w:spacing w:before="240" w:after="120" w:line="288" w:lineRule="auto"/>
      <w:ind w:left="0"/>
      <w:jc w:val="left"/>
      <w:outlineLvl w:val="4"/>
    </w:pPr>
    <w:rPr>
      <w:rFonts w:ascii="Arial" w:hAnsi="Arial" w:eastAsia="等线" w:cs="Arial"/>
      <w:b/>
      <w:bCs/>
      <w:sz w:val="24"/>
      <w:szCs w:val="24"/>
    </w:rPr>
  </w:style>
  <w:style w:type="paragraph" w:styleId="7">
    <w:name w:val="heading 6"/>
    <w:next w:val="1"/>
    <w:qFormat/>
    <w:uiPriority w:val="0"/>
    <w:pPr>
      <w:spacing w:before="240" w:after="120" w:line="288" w:lineRule="auto"/>
      <w:ind w:left="0"/>
      <w:jc w:val="left"/>
      <w:outlineLvl w:val="5"/>
    </w:pPr>
    <w:rPr>
      <w:rFonts w:ascii="Arial" w:hAnsi="Arial" w:eastAsia="等线" w:cs="Arial"/>
      <w:b/>
      <w:bCs/>
      <w:sz w:val="24"/>
      <w:szCs w:val="24"/>
    </w:rPr>
  </w:style>
  <w:style w:type="character" w:default="1" w:styleId="11">
    <w:name w:val="Default Paragraph Font"/>
    <w:semiHidden/>
    <w:qFormat/>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8">
    <w:name w:val="footnote text"/>
    <w:link w:val="15"/>
    <w:semiHidden/>
    <w:unhideWhenUsed/>
    <w:qFormat/>
    <w:uiPriority w:val="99"/>
    <w:pPr>
      <w:spacing w:after="0" w:line="240" w:lineRule="auto"/>
    </w:pPr>
    <w:rPr>
      <w:rFonts w:asciiTheme="minorHAnsi" w:hAnsiTheme="minorHAnsi" w:eastAsiaTheme="minorEastAsia" w:cstheme="minorBidi"/>
      <w:sz w:val="20"/>
      <w:szCs w:val="20"/>
    </w:rPr>
  </w:style>
  <w:style w:type="paragraph" w:styleId="9">
    <w:name w:val="Title"/>
    <w:qFormat/>
    <w:uiPriority w:val="0"/>
    <w:pPr>
      <w:spacing w:before="480" w:after="480" w:line="288" w:lineRule="auto"/>
      <w:ind w:left="0"/>
    </w:pPr>
    <w:rPr>
      <w:rFonts w:ascii="Arial" w:hAnsi="Arial" w:eastAsia="等线" w:cs="Arial"/>
      <w:b/>
      <w:bCs/>
      <w:sz w:val="52"/>
      <w:szCs w:val="52"/>
    </w:rPr>
  </w:style>
  <w:style w:type="character" w:styleId="12">
    <w:name w:val="Hyperlink"/>
    <w:unhideWhenUsed/>
    <w:qFormat/>
    <w:uiPriority w:val="99"/>
    <w:rPr>
      <w:color w:val="0563C1"/>
      <w:u w:val="single"/>
    </w:rPr>
  </w:style>
  <w:style w:type="character" w:styleId="13">
    <w:name w:val="footnote reference"/>
    <w:semiHidden/>
    <w:unhideWhenUsed/>
    <w:qFormat/>
    <w:uiPriority w:val="99"/>
    <w:rPr>
      <w:vertAlign w:val="superscript"/>
    </w:rPr>
  </w:style>
  <w:style w:type="paragraph" w:styleId="14">
    <w:name w:val="List Paragraph"/>
    <w:qFormat/>
    <w:uiPriority w:val="0"/>
    <w:rPr>
      <w:rFonts w:asciiTheme="minorHAnsi" w:hAnsiTheme="minorHAnsi" w:eastAsiaTheme="minorEastAsia" w:cstheme="minorBidi"/>
      <w:sz w:val="21"/>
      <w:szCs w:val="22"/>
    </w:rPr>
  </w:style>
  <w:style w:type="character" w:customStyle="1" w:styleId="15">
    <w:name w:val="Footnote Text Char"/>
    <w:link w:val="8"/>
    <w:semiHidden/>
    <w:unhideWhenUsed/>
    <w:qFormat/>
    <w:uiPriority w:val="99"/>
    <w:rPr>
      <w:sz w:val="20"/>
      <w:szCs w:val="20"/>
    </w:rPr>
  </w:style>
  <w:style w:type="paragraph" w:customStyle="1" w:styleId="16">
    <w:name w:val="_Style 13"/>
    <w:qFormat/>
    <w:uiPriority w:val="0"/>
    <w:pPr>
      <w:spacing w:before="120" w:after="120" w:line="288" w:lineRule="auto"/>
      <w:ind w:left="0"/>
      <w:jc w:val="left"/>
    </w:pPr>
    <w:rPr>
      <w:rFonts w:ascii="Arial" w:hAnsi="Arial" w:eastAsia="等线" w:cs="Arial"/>
      <w:sz w:val="22"/>
      <w:szCs w:val="22"/>
    </w:rPr>
  </w:style>
  <w:style w:type="paragraph" w:customStyle="1" w:styleId="17">
    <w:name w:val="_Style 14"/>
    <w:qFormat/>
    <w:uiPriority w:val="0"/>
    <w:pPr>
      <w:spacing w:before="120" w:after="120" w:line="288" w:lineRule="auto"/>
      <w:ind w:left="0"/>
      <w:jc w:val="left"/>
    </w:pPr>
    <w:rPr>
      <w:rFonts w:ascii="Arial" w:hAnsi="Arial" w:eastAsia="等线" w:cs="Arial"/>
      <w:color w:val="8F959E"/>
      <w:sz w:val="22"/>
      <w:szCs w:val="22"/>
    </w:rPr>
  </w:style>
  <w:style w:type="character" w:customStyle="1" w:styleId="18">
    <w:name w:val="font31"/>
    <w:basedOn w:val="11"/>
    <w:qFormat/>
    <w:uiPriority w:val="0"/>
    <w:rPr>
      <w:rFonts w:hint="eastAsia" w:ascii="宋体" w:hAnsi="宋体" w:eastAsia="宋体" w:cs="宋体"/>
      <w:b/>
      <w:bCs/>
      <w:color w:val="000000"/>
      <w:sz w:val="24"/>
      <w:szCs w:val="24"/>
      <w:u w:val="none"/>
    </w:rPr>
  </w:style>
  <w:style w:type="character" w:customStyle="1" w:styleId="19">
    <w:name w:val="font51"/>
    <w:basedOn w:val="11"/>
    <w:qFormat/>
    <w:uiPriority w:val="0"/>
    <w:rPr>
      <w:rFonts w:hint="eastAsia" w:ascii="宋体" w:hAnsi="宋体" w:eastAsia="宋体" w:cs="宋体"/>
      <w:b/>
      <w:bCs/>
      <w:color w:val="000000"/>
      <w:sz w:val="18"/>
      <w:szCs w:val="1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Pages>5</Pages>
  <Words>479</Words>
  <Characters>543</Characters>
  <TotalTime>0</TotalTime>
  <ScaleCrop>false</ScaleCrop>
  <LinksUpToDate>false</LinksUpToDate>
  <CharactersWithSpaces>543</CharactersWithSpaces>
  <Application>WPS Office_12.1.0.25225_F1E327BC-269C-435d-A152-05C5408002CA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2025-12-18T01:16:00Z</dcterms:created>
  <dc:creator>Un-named</dc:creator>
  <cp:lastModifiedBy>Administrator</cp:lastModifiedBy>
  <dcterms:modified xsi:type="dcterms:W3CDTF">2026-03-13T03:56:15Z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eyJoZGlkIjoiMDExMDdlZDEzMjIzN2IyMTZjNjZhODA1ZmI0ZjcxNzkiLCJ1c2VySWQiOiI0MDcyMTA4NDkifQ==</vt:lpwstr>
  </property>
  <property fmtid="{D5CDD505-2E9C-101B-9397-08002B2CF9AE}" pid="4" name="ICV">
    <vt:lpwstr>E4B9C0AA230449918F4CE14BEA2A4918_12</vt:lpwstr>
  </property>
</Properties>
</file>