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0C43">
      <w:pPr>
        <w:ind w:firstLine="211" w:firstLineChars="100"/>
        <w:outlineLvl w:val="0"/>
        <w:rPr>
          <w:rFonts w:ascii="宋体" w:hAnsi="宋体" w:cs="宋体"/>
          <w:b/>
          <w:szCs w:val="21"/>
        </w:rPr>
      </w:pPr>
      <w:r>
        <w:rPr>
          <w:rFonts w:hint="eastAsia" w:ascii="宋体" w:hAnsi="宋体" w:cs="宋体"/>
          <w:b/>
          <w:szCs w:val="21"/>
        </w:rPr>
        <w:t>附件2：采购需求方案</w:t>
      </w:r>
    </w:p>
    <w:p w14:paraId="3F6D4467">
      <w:pPr>
        <w:spacing w:after="156" w:afterLines="50"/>
        <w:ind w:firstLine="643" w:firstLineChars="200"/>
        <w:jc w:val="center"/>
        <w:outlineLvl w:val="0"/>
        <w:rPr>
          <w:rFonts w:ascii="宋体" w:hAnsi="宋体" w:cs="宋体"/>
          <w:b/>
          <w:bCs/>
          <w:i/>
          <w:sz w:val="32"/>
          <w:szCs w:val="32"/>
        </w:rPr>
      </w:pPr>
      <w:r>
        <w:rPr>
          <w:rFonts w:hint="eastAsia" w:ascii="宋体" w:hAnsi="宋体" w:cs="宋体"/>
          <w:b/>
          <w:sz w:val="32"/>
          <w:szCs w:val="32"/>
        </w:rPr>
        <w:t>采购需求方案</w:t>
      </w:r>
    </w:p>
    <w:p w14:paraId="3C4C006C">
      <w:pPr>
        <w:spacing w:line="300" w:lineRule="auto"/>
        <w:rPr>
          <w:rFonts w:ascii="宋体" w:hAnsi="宋体" w:cs="宋体"/>
          <w:bCs/>
          <w:iCs/>
          <w:szCs w:val="21"/>
          <w:u w:val="single"/>
        </w:rPr>
      </w:pPr>
      <w:r>
        <w:rPr>
          <w:rFonts w:hint="eastAsia" w:ascii="宋体" w:hAnsi="宋体" w:cs="宋体"/>
          <w:b/>
          <w:iCs/>
          <w:szCs w:val="21"/>
        </w:rPr>
        <w:t>一.采购项目名称：</w:t>
      </w:r>
      <w:r>
        <w:rPr>
          <w:rFonts w:hint="eastAsia" w:ascii="宋体" w:hAnsi="宋体" w:cs="宋体"/>
          <w:bCs/>
          <w:iCs/>
          <w:szCs w:val="21"/>
        </w:rPr>
        <w:t>广州医科大学附属妇女儿童医疗中心增城院区核医学及放疗科改造工程设计服务项目</w:t>
      </w:r>
    </w:p>
    <w:p w14:paraId="598B1DAF">
      <w:pPr>
        <w:rPr>
          <w:rFonts w:ascii="宋体" w:hAnsi="宋体" w:cs="宋体"/>
          <w:bCs/>
          <w:iCs/>
          <w:szCs w:val="21"/>
        </w:rPr>
      </w:pPr>
      <w:r>
        <w:rPr>
          <w:rFonts w:hint="eastAsia" w:ascii="宋体" w:hAnsi="宋体" w:cs="宋体"/>
          <w:b/>
          <w:iCs/>
          <w:szCs w:val="21"/>
        </w:rPr>
        <w:t>二.采购人名称：</w:t>
      </w:r>
      <w:r>
        <w:rPr>
          <w:rFonts w:hint="eastAsia" w:ascii="宋体" w:hAnsi="宋体" w:cs="宋体"/>
          <w:bCs/>
          <w:iCs/>
          <w:szCs w:val="21"/>
        </w:rPr>
        <w:t>广州</w:t>
      </w:r>
      <w:r>
        <w:rPr>
          <w:rFonts w:hint="eastAsia" w:ascii="宋体" w:hAnsi="宋体" w:cs="宋体"/>
          <w:bCs/>
          <w:iCs/>
          <w:szCs w:val="21"/>
          <w:lang w:eastAsia="zh-CN"/>
        </w:rPr>
        <w:t>医科大学附属</w:t>
      </w:r>
      <w:r>
        <w:rPr>
          <w:rFonts w:hint="eastAsia" w:ascii="宋体" w:hAnsi="宋体" w:cs="宋体"/>
          <w:bCs/>
          <w:iCs/>
          <w:szCs w:val="21"/>
        </w:rPr>
        <w:t>妇女儿童医疗中心</w:t>
      </w:r>
    </w:p>
    <w:p w14:paraId="406FF4FB">
      <w:pPr>
        <w:rPr>
          <w:rFonts w:hint="eastAsia" w:ascii="宋体" w:hAnsi="宋体" w:cs="宋体"/>
          <w:bCs/>
          <w:iCs/>
          <w:szCs w:val="21"/>
        </w:rPr>
      </w:pPr>
      <w:r>
        <w:rPr>
          <w:rFonts w:hint="eastAsia" w:ascii="宋体" w:hAnsi="宋体" w:cs="宋体"/>
          <w:b/>
          <w:iCs/>
          <w:szCs w:val="21"/>
        </w:rPr>
        <w:t>三．服务地点：</w:t>
      </w:r>
      <w:r>
        <w:rPr>
          <w:rFonts w:hint="eastAsia" w:ascii="宋体" w:hAnsi="宋体" w:cs="宋体"/>
          <w:bCs/>
          <w:iCs/>
          <w:szCs w:val="21"/>
        </w:rPr>
        <w:t>广州医科大学附属妇女儿童医疗中心增城院区核医学科、放疗科指定改造区域（含诊疗区域、设备机房、辅助用房、专用通道及相关配套设施区域）。</w:t>
      </w:r>
    </w:p>
    <w:p w14:paraId="56CCB31B">
      <w:pPr>
        <w:rPr>
          <w:rFonts w:hint="eastAsia" w:ascii="宋体" w:hAnsi="宋体" w:eastAsia="宋体" w:cs="宋体"/>
          <w:b/>
          <w:iCs/>
          <w:szCs w:val="21"/>
        </w:rPr>
      </w:pPr>
      <w:r>
        <w:rPr>
          <w:rFonts w:hint="eastAsia" w:ascii="宋体" w:hAnsi="宋体" w:eastAsia="宋体" w:cs="宋体"/>
          <w:b/>
          <w:iCs/>
          <w:szCs w:val="21"/>
          <w:lang w:val="en-US" w:eastAsia="zh-CN"/>
        </w:rPr>
        <w:t>四</w:t>
      </w:r>
      <w:r>
        <w:rPr>
          <w:rFonts w:hint="eastAsia" w:ascii="宋体" w:hAnsi="宋体" w:eastAsia="宋体" w:cs="宋体"/>
          <w:b/>
          <w:iCs/>
          <w:szCs w:val="21"/>
          <w:lang w:eastAsia="zh-CN"/>
        </w:rPr>
        <w:t>．</w:t>
      </w:r>
      <w:r>
        <w:rPr>
          <w:rFonts w:hint="eastAsia" w:ascii="宋体" w:hAnsi="宋体" w:eastAsia="宋体" w:cs="宋体"/>
          <w:b/>
          <w:iCs/>
          <w:szCs w:val="21"/>
        </w:rPr>
        <w:t>项目内容：</w:t>
      </w:r>
    </w:p>
    <w:tbl>
      <w:tblPr>
        <w:tblStyle w:val="6"/>
        <w:tblW w:w="8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1133"/>
        <w:gridCol w:w="3687"/>
      </w:tblGrid>
      <w:tr w14:paraId="6AAA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444" w:type="dxa"/>
            <w:shd w:val="clear" w:color="auto" w:fill="FFFFFF"/>
            <w:noWrap w:val="0"/>
            <w:vAlign w:val="center"/>
          </w:tcPr>
          <w:p w14:paraId="0D9FB239">
            <w:pPr>
              <w:jc w:val="center"/>
              <w:rPr>
                <w:rFonts w:hint="eastAsia" w:ascii="宋体" w:hAnsi="宋体" w:cs="Tahoma"/>
                <w:b/>
                <w:color w:val="000000"/>
                <w:kern w:val="28"/>
                <w:szCs w:val="21"/>
              </w:rPr>
            </w:pPr>
            <w:r>
              <w:rPr>
                <w:rFonts w:hint="eastAsia" w:ascii="宋体" w:hAnsi="宋体" w:cs="Tahoma"/>
                <w:b/>
                <w:color w:val="000000"/>
                <w:kern w:val="28"/>
                <w:szCs w:val="21"/>
              </w:rPr>
              <w:t>项目内容</w:t>
            </w:r>
          </w:p>
        </w:tc>
        <w:tc>
          <w:tcPr>
            <w:tcW w:w="1133" w:type="dxa"/>
            <w:shd w:val="clear" w:color="auto" w:fill="FFFFFF"/>
            <w:noWrap w:val="0"/>
            <w:vAlign w:val="center"/>
          </w:tcPr>
          <w:p w14:paraId="02B9298A">
            <w:pPr>
              <w:jc w:val="center"/>
              <w:rPr>
                <w:rFonts w:hint="eastAsia" w:ascii="宋体" w:hAnsi="宋体" w:eastAsia="宋体" w:cs="Tahoma"/>
                <w:b/>
                <w:color w:val="000000"/>
                <w:kern w:val="28"/>
                <w:szCs w:val="21"/>
                <w:lang w:eastAsia="zh-CN"/>
              </w:rPr>
            </w:pPr>
            <w:r>
              <w:rPr>
                <w:rFonts w:hint="eastAsia" w:ascii="宋体" w:hAnsi="宋体" w:cs="Tahoma"/>
                <w:b/>
                <w:color w:val="000000"/>
                <w:kern w:val="28"/>
                <w:szCs w:val="21"/>
              </w:rPr>
              <w:t>采购</w:t>
            </w:r>
            <w:r>
              <w:rPr>
                <w:rFonts w:hint="eastAsia" w:ascii="宋体" w:hAnsi="宋体" w:cs="Tahoma"/>
                <w:b/>
                <w:color w:val="000000"/>
                <w:kern w:val="28"/>
                <w:szCs w:val="21"/>
                <w:lang w:val="en-US" w:eastAsia="zh-CN"/>
              </w:rPr>
              <w:t>费率</w:t>
            </w:r>
          </w:p>
        </w:tc>
        <w:tc>
          <w:tcPr>
            <w:tcW w:w="3687" w:type="dxa"/>
            <w:shd w:val="clear" w:color="auto" w:fill="FFFFFF"/>
            <w:noWrap w:val="0"/>
            <w:vAlign w:val="center"/>
          </w:tcPr>
          <w:p w14:paraId="0FA8C0B6">
            <w:pPr>
              <w:jc w:val="center"/>
              <w:rPr>
                <w:rFonts w:hint="eastAsia" w:ascii="宋体" w:hAnsi="宋体" w:cs="Tahoma"/>
                <w:b/>
                <w:color w:val="000000"/>
                <w:kern w:val="28"/>
                <w:szCs w:val="21"/>
              </w:rPr>
            </w:pPr>
            <w:r>
              <w:rPr>
                <w:rFonts w:hint="eastAsia" w:ascii="宋体" w:hAnsi="宋体" w:cs="Tahoma"/>
                <w:b/>
                <w:color w:val="000000"/>
                <w:kern w:val="28"/>
                <w:szCs w:val="21"/>
              </w:rPr>
              <w:t>备注</w:t>
            </w:r>
          </w:p>
        </w:tc>
      </w:tr>
      <w:tr w14:paraId="55CA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44" w:type="dxa"/>
            <w:shd w:val="clear" w:color="auto" w:fill="auto"/>
            <w:noWrap w:val="0"/>
            <w:vAlign w:val="center"/>
          </w:tcPr>
          <w:p w14:paraId="173965B3">
            <w:pPr>
              <w:numPr>
                <w:ilvl w:val="0"/>
                <w:numId w:val="0"/>
              </w:numPr>
              <w:spacing w:line="240" w:lineRule="auto"/>
              <w:jc w:val="both"/>
              <w:rPr>
                <w:rFonts w:hint="eastAsia" w:ascii="宋体" w:hAnsi="宋体"/>
                <w:szCs w:val="21"/>
              </w:rPr>
            </w:pPr>
            <w:r>
              <w:rPr>
                <w:rFonts w:hint="eastAsia" w:ascii="宋体" w:hAnsi="宋体" w:cs="宋体"/>
                <w:bCs/>
                <w:iCs/>
                <w:szCs w:val="21"/>
              </w:rPr>
              <w:t>广州医科大学附属妇女儿童医疗中心增城院区核医学及放疗科改造工程设计服务项目</w:t>
            </w:r>
          </w:p>
        </w:tc>
        <w:tc>
          <w:tcPr>
            <w:tcW w:w="1133" w:type="dxa"/>
            <w:shd w:val="clear" w:color="auto" w:fill="auto"/>
            <w:noWrap w:val="0"/>
            <w:vAlign w:val="center"/>
          </w:tcPr>
          <w:p w14:paraId="33E65EB1">
            <w:pPr>
              <w:jc w:val="center"/>
              <w:rPr>
                <w:rFonts w:hint="default" w:ascii="宋体" w:hAnsi="宋体" w:eastAsia="宋体" w:cs="Tahoma"/>
                <w:kern w:val="28"/>
                <w:szCs w:val="21"/>
                <w:lang w:val="en-US" w:eastAsia="zh-CN"/>
              </w:rPr>
            </w:pPr>
            <w:r>
              <w:rPr>
                <w:rFonts w:hint="eastAsia" w:ascii="宋体" w:hAnsi="宋体" w:cs="Tahoma"/>
                <w:kern w:val="28"/>
                <w:szCs w:val="21"/>
                <w:highlight w:val="none"/>
                <w:lang w:val="en-US" w:eastAsia="zh-CN"/>
              </w:rPr>
              <w:t>不超过建安工程费4.5%的费率</w:t>
            </w:r>
          </w:p>
        </w:tc>
        <w:tc>
          <w:tcPr>
            <w:tcW w:w="3687" w:type="dxa"/>
            <w:noWrap w:val="0"/>
            <w:vAlign w:val="center"/>
          </w:tcPr>
          <w:p w14:paraId="73177851">
            <w:pPr>
              <w:ind w:firstLine="210" w:firstLineChars="100"/>
              <w:rPr>
                <w:rFonts w:hint="default" w:ascii="宋体" w:hAnsi="宋体" w:eastAsia="宋体" w:cs="Tahoma"/>
                <w:kern w:val="28"/>
                <w:szCs w:val="21"/>
                <w:lang w:val="en-US" w:eastAsia="zh-CN"/>
              </w:rPr>
            </w:pPr>
            <w:r>
              <w:rPr>
                <w:rFonts w:hint="eastAsia" w:ascii="宋体" w:hAnsi="宋体" w:cs="Tahoma"/>
                <w:kern w:val="28"/>
                <w:szCs w:val="21"/>
              </w:rPr>
              <w:t>核医学科将占用地下室约600㎡</w:t>
            </w:r>
            <w:r>
              <w:rPr>
                <w:rFonts w:hint="eastAsia" w:ascii="宋体" w:hAnsi="宋体" w:cs="Tahoma"/>
                <w:kern w:val="28"/>
                <w:szCs w:val="21"/>
                <w:lang w:eastAsia="zh-CN"/>
              </w:rPr>
              <w:t>，</w:t>
            </w:r>
            <w:r>
              <w:rPr>
                <w:rFonts w:hint="eastAsia" w:ascii="宋体" w:hAnsi="宋体" w:cs="Tahoma"/>
                <w:kern w:val="28"/>
                <w:szCs w:val="21"/>
                <w:lang w:val="en-US" w:eastAsia="zh-CN"/>
              </w:rPr>
              <w:t>包含储源区、核医学检查区、候诊接待区、医生工作区、办公辅助区、设备功能区，其中</w:t>
            </w:r>
            <w:r>
              <w:rPr>
                <w:rFonts w:hint="eastAsia" w:ascii="宋体" w:hAnsi="宋体" w:cs="Tahoma"/>
                <w:kern w:val="28"/>
                <w:szCs w:val="21"/>
              </w:rPr>
              <w:t>含PETCT和SPECT各1台，不含治疗及病房，含80㎡衰变池；放疗科则需占用地下室约1400㎡</w:t>
            </w:r>
            <w:r>
              <w:rPr>
                <w:rFonts w:hint="eastAsia" w:ascii="宋体" w:hAnsi="宋体" w:cs="Tahoma"/>
                <w:kern w:val="28"/>
                <w:szCs w:val="21"/>
                <w:lang w:eastAsia="zh-CN"/>
              </w:rPr>
              <w:t>，</w:t>
            </w:r>
            <w:r>
              <w:rPr>
                <w:rFonts w:hint="eastAsia" w:ascii="宋体" w:hAnsi="宋体" w:cs="Tahoma"/>
                <w:kern w:val="28"/>
                <w:szCs w:val="21"/>
                <w:lang w:val="en-US" w:eastAsia="zh-CN"/>
              </w:rPr>
              <w:t>包含（加速器机房区、后装机房、医生工作区、设备辅助用房区、候诊接待区、CT机房，其中</w:t>
            </w:r>
            <w:r>
              <w:rPr>
                <w:rFonts w:hint="eastAsia" w:ascii="宋体" w:hAnsi="宋体" w:cs="Tahoma"/>
                <w:kern w:val="28"/>
                <w:szCs w:val="21"/>
              </w:rPr>
              <w:t>含2个直线加速器机房、1台后装机、1台CT定位机等</w:t>
            </w:r>
            <w:r>
              <w:rPr>
                <w:rFonts w:hint="eastAsia" w:ascii="宋体" w:hAnsi="宋体" w:cs="Tahoma"/>
                <w:kern w:val="28"/>
                <w:szCs w:val="21"/>
                <w:lang w:eastAsia="zh-CN"/>
              </w:rPr>
              <w:t>。</w:t>
            </w:r>
            <w:r>
              <w:rPr>
                <w:rFonts w:hint="eastAsia" w:ascii="宋体" w:hAnsi="宋体" w:cs="Tahoma"/>
                <w:b/>
                <w:bCs/>
                <w:kern w:val="28"/>
                <w:szCs w:val="21"/>
                <w:highlight w:val="yellow"/>
                <w:lang w:eastAsia="zh-CN"/>
              </w:rPr>
              <w:t>需</w:t>
            </w:r>
            <w:r>
              <w:rPr>
                <w:rFonts w:hint="eastAsia" w:ascii="宋体" w:hAnsi="宋体" w:cs="Tahoma"/>
                <w:b/>
                <w:bCs/>
                <w:kern w:val="28"/>
                <w:szCs w:val="21"/>
                <w:highlight w:val="yellow"/>
                <w:lang w:val="en-US" w:eastAsia="zh-CN"/>
              </w:rPr>
              <w:t>给出</w:t>
            </w:r>
            <w:r>
              <w:rPr>
                <w:rFonts w:hint="eastAsia" w:ascii="宋体" w:hAnsi="宋体" w:cs="Tahoma"/>
                <w:b/>
                <w:bCs/>
                <w:kern w:val="28"/>
                <w:szCs w:val="21"/>
                <w:highlight w:val="yellow"/>
                <w:lang w:eastAsia="zh-CN"/>
              </w:rPr>
              <w:t>该项目预估建安工程费用、</w:t>
            </w:r>
            <w:r>
              <w:rPr>
                <w:rFonts w:hint="eastAsia" w:ascii="宋体" w:hAnsi="宋体" w:cs="Tahoma"/>
                <w:b/>
                <w:bCs/>
                <w:kern w:val="28"/>
                <w:szCs w:val="21"/>
                <w:highlight w:val="yellow"/>
                <w:lang w:val="en-US" w:eastAsia="zh-CN"/>
              </w:rPr>
              <w:t>设计报价</w:t>
            </w:r>
            <w:r>
              <w:rPr>
                <w:rFonts w:hint="eastAsia" w:ascii="宋体" w:hAnsi="宋体" w:cs="Tahoma"/>
                <w:b/>
                <w:bCs/>
                <w:kern w:val="28"/>
                <w:szCs w:val="21"/>
                <w:highlight w:val="yellow"/>
                <w:lang w:eastAsia="zh-CN"/>
              </w:rPr>
              <w:t>费率</w:t>
            </w:r>
            <w:r>
              <w:rPr>
                <w:rFonts w:hint="eastAsia" w:ascii="宋体" w:hAnsi="宋体" w:cs="Tahoma"/>
                <w:b/>
                <w:bCs/>
                <w:kern w:val="28"/>
                <w:szCs w:val="21"/>
                <w:highlight w:val="yellow"/>
                <w:lang w:val="en-US" w:eastAsia="zh-CN"/>
              </w:rPr>
              <w:t>及相应金额</w:t>
            </w:r>
            <w:r>
              <w:rPr>
                <w:rFonts w:hint="eastAsia" w:ascii="宋体" w:hAnsi="宋体" w:cs="Tahoma"/>
                <w:b/>
                <w:bCs/>
                <w:kern w:val="28"/>
                <w:szCs w:val="21"/>
                <w:highlight w:val="yellow"/>
                <w:lang w:eastAsia="zh-CN"/>
              </w:rPr>
              <w:t>，并按方案设计、初步设计、施工图设计、施工建设四个阶段，列出各阶段费用占比。</w:t>
            </w:r>
          </w:p>
        </w:tc>
      </w:tr>
    </w:tbl>
    <w:p w14:paraId="17E7DDB9">
      <w:pPr>
        <w:rPr>
          <w:rFonts w:hint="eastAsia" w:ascii="宋体" w:hAnsi="宋体" w:cs="宋体"/>
          <w:bCs/>
          <w:iCs/>
          <w:szCs w:val="21"/>
        </w:rPr>
      </w:pPr>
    </w:p>
    <w:p w14:paraId="64128921">
      <w:pPr>
        <w:rPr>
          <w:rFonts w:hint="eastAsia" w:ascii="宋体" w:hAnsi="宋体" w:cs="宋体"/>
          <w:b/>
          <w:bCs w:val="0"/>
          <w:iCs/>
          <w:szCs w:val="21"/>
        </w:rPr>
      </w:pPr>
      <w:r>
        <w:rPr>
          <w:rFonts w:hint="eastAsia" w:ascii="宋体" w:hAnsi="宋体" w:cs="宋体"/>
          <w:b/>
          <w:iCs/>
          <w:szCs w:val="21"/>
          <w:lang w:val="en-US" w:eastAsia="zh-CN"/>
        </w:rPr>
        <w:t>五</w:t>
      </w:r>
      <w:r>
        <w:rPr>
          <w:rFonts w:hint="eastAsia" w:ascii="宋体" w:hAnsi="宋体" w:cs="宋体"/>
          <w:b/>
          <w:iCs/>
          <w:szCs w:val="21"/>
        </w:rPr>
        <w:t>.设计范围：</w:t>
      </w:r>
      <w:r>
        <w:rPr>
          <w:rFonts w:hint="eastAsia" w:ascii="宋体" w:hAnsi="宋体" w:cs="宋体"/>
          <w:b w:val="0"/>
          <w:bCs/>
          <w:iCs/>
          <w:szCs w:val="21"/>
        </w:rPr>
        <w:t>针对增城院区核医学及放疗科改造工程开展全过程设计服务，包括但不限于：方案设计、初步设计（含工程概算编制）、施工图设计（涵盖建筑、结构、给排水、电气、空调通风、室内装修等专业</w:t>
      </w:r>
      <w:r>
        <w:rPr>
          <w:rFonts w:hint="eastAsia" w:ascii="宋体" w:hAnsi="宋体" w:cs="宋体"/>
          <w:b w:val="0"/>
          <w:bCs/>
          <w:iCs/>
          <w:szCs w:val="21"/>
          <w:lang w:val="en-US" w:eastAsia="zh-CN"/>
        </w:rPr>
        <w:t>设计以及核医学防护、医用气体、衰变池设计等专项设计</w:t>
      </w:r>
      <w:r>
        <w:rPr>
          <w:rFonts w:hint="eastAsia" w:ascii="宋体" w:hAnsi="宋体" w:cs="宋体"/>
          <w:b w:val="0"/>
          <w:bCs/>
          <w:iCs/>
          <w:szCs w:val="21"/>
        </w:rPr>
        <w:t>）、设计交底、施工过程技术配合、设计变更优化、竣工图审核及配合项目规划、消防、环境影响评价及卫生评价、辐射安全等相关部门审批备案的全流程设计服务，确保设计成果符合医疗功能需求、辐射安全规范及工程建设相关强制性标准。</w:t>
      </w:r>
    </w:p>
    <w:p w14:paraId="2D3CED79">
      <w:r>
        <w:rPr>
          <w:rFonts w:hint="eastAsia" w:ascii="宋体" w:hAnsi="宋体" w:cs="宋体"/>
          <w:b/>
          <w:iCs/>
          <w:szCs w:val="21"/>
          <w:lang w:val="en-US" w:eastAsia="zh-CN"/>
        </w:rPr>
        <w:t>六</w:t>
      </w:r>
      <w:r>
        <w:rPr>
          <w:rFonts w:hint="eastAsia" w:ascii="宋体" w:hAnsi="宋体" w:cs="宋体"/>
          <w:b/>
          <w:iCs/>
          <w:szCs w:val="21"/>
        </w:rPr>
        <w:t>.人员配置：</w:t>
      </w:r>
      <w:r>
        <w:rPr>
          <w:rFonts w:hint="eastAsia" w:ascii="宋体" w:hAnsi="宋体" w:cs="宋体"/>
          <w:b w:val="0"/>
          <w:bCs/>
          <w:iCs/>
          <w:szCs w:val="21"/>
          <w:u w:val="single"/>
          <w:lang w:eastAsia="zh-CN"/>
        </w:rPr>
        <w:t>设计人须为本项目组建专业设计服务团队，团队总人数不少于</w:t>
      </w:r>
      <w:r>
        <w:rPr>
          <w:rFonts w:hint="eastAsia" w:ascii="宋体" w:hAnsi="宋体" w:cs="宋体"/>
          <w:b w:val="0"/>
          <w:bCs/>
          <w:iCs/>
          <w:szCs w:val="21"/>
          <w:u w:val="single"/>
          <w:lang w:val="en-US" w:eastAsia="zh-CN"/>
        </w:rPr>
        <w:t>9</w:t>
      </w:r>
      <w:r>
        <w:rPr>
          <w:rFonts w:hint="eastAsia" w:ascii="宋体" w:hAnsi="宋体" w:cs="宋体"/>
          <w:b w:val="0"/>
          <w:bCs/>
          <w:iCs/>
          <w:szCs w:val="21"/>
          <w:u w:val="single"/>
          <w:lang w:eastAsia="zh-CN"/>
        </w:rPr>
        <w:t>人，覆盖相应专业及专项需求</w:t>
      </w:r>
      <w:r>
        <w:rPr>
          <w:rFonts w:hint="eastAsia" w:ascii="宋体" w:hAnsi="宋体" w:cs="宋体"/>
          <w:b w:val="0"/>
          <w:bCs/>
          <w:iCs/>
          <w:szCs w:val="21"/>
          <w:u w:val="single"/>
          <w:lang w:val="en-US" w:eastAsia="zh-CN"/>
        </w:rPr>
        <w:t>，</w:t>
      </w:r>
      <w:r>
        <w:rPr>
          <w:rFonts w:hint="eastAsia" w:ascii="宋体" w:hAnsi="宋体" w:cs="宋体"/>
          <w:b w:val="0"/>
          <w:bCs/>
          <w:iCs/>
          <w:szCs w:val="21"/>
          <w:u w:val="single"/>
          <w:lang w:eastAsia="zh-CN"/>
        </w:rPr>
        <w:t>其中至少配备1名具备建筑设计高级职称、5年以上核医学 / 放疗科相关工程设计经验的项目负责人，项目负责人及核心设计人员需全程跟进项目。</w:t>
      </w:r>
    </w:p>
    <w:p w14:paraId="6C5254E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sz w:val="21"/>
          <w:szCs w:val="21"/>
        </w:rPr>
      </w:pPr>
      <w:r>
        <w:rPr>
          <w:rFonts w:hint="eastAsia"/>
          <w:b/>
          <w:bCs/>
          <w:sz w:val="21"/>
          <w:szCs w:val="21"/>
          <w:lang w:val="en-US" w:eastAsia="zh-CN"/>
        </w:rPr>
        <w:t>七</w:t>
      </w:r>
      <w:r>
        <w:rPr>
          <w:rFonts w:hint="eastAsia"/>
          <w:b/>
          <w:bCs/>
          <w:sz w:val="21"/>
          <w:szCs w:val="21"/>
        </w:rPr>
        <w:t>．项目服务要求（包括但不限于）：</w:t>
      </w:r>
    </w:p>
    <w:p w14:paraId="06FEF6E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lang w:val="en-US" w:eastAsia="zh-CN"/>
        </w:rPr>
      </w:pPr>
      <w:r>
        <w:rPr>
          <w:rFonts w:hint="eastAsia"/>
          <w:sz w:val="21"/>
          <w:szCs w:val="21"/>
        </w:rPr>
        <w:t>1.</w:t>
      </w:r>
      <w:bookmarkStart w:id="0" w:name="OLE_LINK1"/>
      <w:r>
        <w:rPr>
          <w:rFonts w:hint="eastAsia"/>
          <w:sz w:val="21"/>
          <w:szCs w:val="21"/>
          <w:lang w:val="en-US" w:eastAsia="zh-CN"/>
        </w:rPr>
        <w:t>设计服务从项目功能需求梳理开始，至竣工图审核完成并配合项目竣工验收备案结束，覆盖改造工程全生命周期设计相关工作。协助委托人梳理核医学及放疗科改造核心需求，结合医疗流程优化、辐射安全防护、设备安装适配等要求，编制设计任务书并提供专业咨询建议。</w:t>
      </w:r>
    </w:p>
    <w:p w14:paraId="4DEEFAF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sz w:val="21"/>
          <w:szCs w:val="21"/>
          <w:lang w:val="en-US" w:eastAsia="zh-CN"/>
        </w:rPr>
      </w:pPr>
      <w:r>
        <w:rPr>
          <w:rFonts w:hint="eastAsia"/>
          <w:sz w:val="21"/>
          <w:szCs w:val="21"/>
          <w:lang w:val="en-US" w:eastAsia="zh-CN"/>
        </w:rPr>
        <w:t>2.对接规划主管部门，完成相关规划数据调整、数据论证分析及对应文件编制工作，确保规划数据符合项目改造需求及规划管理要求，为后续设计阶段推进奠定合规基础。</w:t>
      </w:r>
    </w:p>
    <w:p w14:paraId="1F91F43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sz w:val="21"/>
          <w:szCs w:val="21"/>
          <w:lang w:val="en-US" w:eastAsia="zh-CN"/>
        </w:rPr>
      </w:pPr>
      <w:r>
        <w:rPr>
          <w:rFonts w:hint="eastAsia" w:ascii="Times New Roman" w:hAnsi="Times New Roman" w:eastAsia="宋体" w:cs="Times New Roman"/>
          <w:kern w:val="2"/>
          <w:sz w:val="21"/>
          <w:szCs w:val="21"/>
          <w:lang w:val="en-US" w:eastAsia="zh-CN" w:bidi="ar-SA"/>
        </w:rPr>
        <w:t>3.</w:t>
      </w:r>
      <w:r>
        <w:rPr>
          <w:rFonts w:hint="eastAsia"/>
          <w:sz w:val="21"/>
          <w:szCs w:val="21"/>
          <w:lang w:val="en-US" w:eastAsia="zh-CN"/>
        </w:rPr>
        <w:t>方案设计阶段：提供不少于3套优化设计方案，明确功能分区、医疗流程、辐射防护布局、装饰风格等核心内容，组织方案评审并根据委托人意见修改完善，确保方案符合相关国家标准及行业规范。</w:t>
      </w:r>
    </w:p>
    <w:p w14:paraId="765867EE">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sz w:val="21"/>
          <w:szCs w:val="21"/>
          <w:lang w:val="en-US" w:eastAsia="zh-CN"/>
        </w:rPr>
      </w:pPr>
      <w:r>
        <w:rPr>
          <w:rFonts w:hint="eastAsia"/>
          <w:sz w:val="21"/>
          <w:szCs w:val="21"/>
          <w:lang w:val="en-US" w:eastAsia="zh-CN"/>
        </w:rPr>
        <w:t>4.初步设计阶段：深化方案设计内容，完成初步设计图纸编制、设计说明撰写及工程概算编制，概算需准确完整、符合国家及地方工程计价标准，组织初步设计审查并配合修改至通过。完成相关报建系统上报工作</w:t>
      </w:r>
    </w:p>
    <w:p w14:paraId="7175B90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lang w:val="en-US" w:eastAsia="zh-CN"/>
        </w:rPr>
      </w:pPr>
      <w:r>
        <w:rPr>
          <w:rFonts w:hint="eastAsia"/>
          <w:sz w:val="21"/>
          <w:szCs w:val="21"/>
          <w:lang w:val="en-US" w:eastAsia="zh-CN"/>
        </w:rPr>
        <w:t>5.施工图设计阶段：依据批准的初步设计文件，编制详细施工图，确保图纸深度满足施工要求，且通过施工图审查机构审核及辐射安全监管部门相关备案要求。</w:t>
      </w:r>
    </w:p>
    <w:p w14:paraId="386CB1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lang w:val="en-US" w:eastAsia="zh-CN"/>
        </w:rPr>
      </w:pPr>
      <w:r>
        <w:rPr>
          <w:rFonts w:hint="eastAsia"/>
          <w:sz w:val="21"/>
          <w:szCs w:val="21"/>
          <w:lang w:val="en-US" w:eastAsia="zh-CN"/>
        </w:rPr>
        <w:t>6.设计交底与技术配合：施工前组织设计交底会，向施工单位、监理单位详细说明设计意图及技术要求；施工过程中提供全程技术支持，及时解答技术疑问，每月不少于2次现场技术巡查（或按采购人要求增加频次），形成技术服务记录。</w:t>
      </w:r>
    </w:p>
    <w:p w14:paraId="6BB7A7B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lang w:val="en-US" w:eastAsia="zh-CN"/>
        </w:rPr>
      </w:pPr>
      <w:r>
        <w:rPr>
          <w:rFonts w:hint="eastAsia"/>
          <w:sz w:val="21"/>
          <w:szCs w:val="21"/>
          <w:lang w:val="en-US" w:eastAsia="zh-CN"/>
        </w:rPr>
        <w:t>7.设计变更管理：针对施工过程中出现的实际问题，及时出具合理的设计变更方案，严格履行设计变更审批流程，确保设计变更不影响工程质量、辐射安全及医疗功能，且控制工程投资在概算范围内。</w:t>
      </w:r>
    </w:p>
    <w:p w14:paraId="2F7AA0E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lang w:val="en-US" w:eastAsia="zh-CN"/>
        </w:rPr>
      </w:pPr>
      <w:r>
        <w:rPr>
          <w:rFonts w:hint="eastAsia"/>
          <w:sz w:val="21"/>
          <w:szCs w:val="21"/>
          <w:lang w:val="en-US" w:eastAsia="zh-CN"/>
        </w:rPr>
        <w:t>8.材料与设备选型配合：协助委托人审核核医学设备、放疗设备、辐射防护材料等关键产品的技术参数，提供选型建议，确保设备与设计方案适配。</w:t>
      </w:r>
    </w:p>
    <w:p w14:paraId="0B9B50A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lang w:val="en-US" w:eastAsia="zh-CN"/>
        </w:rPr>
      </w:pPr>
      <w:r>
        <w:rPr>
          <w:rFonts w:hint="eastAsia"/>
          <w:sz w:val="21"/>
          <w:szCs w:val="21"/>
          <w:lang w:val="en-US" w:eastAsia="zh-CN"/>
        </w:rPr>
        <w:t>9.竣工图审核：施工完成后，协助委托人审核施工单位编制的竣工图，确保竣工图与实际施工情况一致，满足工程结算及档案归档要求。</w:t>
      </w:r>
    </w:p>
    <w:p w14:paraId="370E450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lang w:val="en-US" w:eastAsia="zh-CN"/>
        </w:rPr>
      </w:pPr>
      <w:r>
        <w:rPr>
          <w:rFonts w:hint="eastAsia"/>
          <w:sz w:val="21"/>
          <w:szCs w:val="21"/>
          <w:lang w:val="en-US" w:eastAsia="zh-CN"/>
        </w:rPr>
        <w:t>10.配合审批备案：协助委托人完成项目规划、消防、环保、辐射安全等相关部门的审批备案工作，提供所需设计文件及技术资料。</w:t>
      </w:r>
    </w:p>
    <w:p w14:paraId="1E46CD7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lang w:val="en-US" w:eastAsia="zh-CN"/>
        </w:rPr>
      </w:pPr>
      <w:r>
        <w:rPr>
          <w:rFonts w:hint="eastAsia"/>
          <w:sz w:val="21"/>
          <w:szCs w:val="21"/>
          <w:lang w:val="en-US" w:eastAsia="zh-CN"/>
        </w:rPr>
        <w:t>11.编写设计阶段月报和最终总结报告，内容包括设计进度、工作成果、存在问题及解决措施等，定期向委托人汇报设计工作进展。</w:t>
      </w:r>
    </w:p>
    <w:p w14:paraId="2C81187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sz w:val="21"/>
          <w:szCs w:val="21"/>
          <w:lang w:val="en-US" w:eastAsia="zh-CN"/>
        </w:rPr>
      </w:pPr>
      <w:r>
        <w:rPr>
          <w:rFonts w:hint="eastAsia"/>
          <w:sz w:val="21"/>
          <w:szCs w:val="21"/>
          <w:lang w:val="en-US" w:eastAsia="zh-CN"/>
        </w:rPr>
        <w:t>12.按国家及委托人要求，整理全套设计文件（含纸质版及电子版），包括方案设计、初步设计、施工图、设计变更、概算、总结报告等，提交委托人归档。</w:t>
      </w:r>
    </w:p>
    <w:bookmarkEnd w:id="0"/>
    <w:p w14:paraId="16D0BCC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sz w:val="21"/>
          <w:szCs w:val="21"/>
        </w:rPr>
      </w:pPr>
      <w:r>
        <w:rPr>
          <w:rFonts w:hint="eastAsia"/>
          <w:b/>
          <w:bCs/>
          <w:sz w:val="21"/>
          <w:szCs w:val="21"/>
          <w:lang w:val="en-US" w:eastAsia="zh-CN"/>
        </w:rPr>
        <w:t>八</w:t>
      </w:r>
      <w:r>
        <w:rPr>
          <w:rFonts w:hint="eastAsia"/>
          <w:b/>
          <w:bCs/>
          <w:sz w:val="21"/>
          <w:szCs w:val="21"/>
        </w:rPr>
        <w:t>．关于设计质量及验收约定：</w:t>
      </w:r>
    </w:p>
    <w:p w14:paraId="0A096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rPr>
        <w:t>1.设计人应依据有关法律、法规、工程建设强制性标准、医疗行业规范、辐射安全管理规定及委托人要求进行设计，对存在的问题应及时整改，并报委托人。</w:t>
      </w:r>
    </w:p>
    <w:p w14:paraId="16510FE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lang w:val="en-US" w:eastAsia="zh-CN"/>
        </w:rPr>
        <w:t>2.</w:t>
      </w:r>
      <w:r>
        <w:rPr>
          <w:rFonts w:hint="eastAsia"/>
          <w:sz w:val="21"/>
          <w:szCs w:val="21"/>
        </w:rPr>
        <w:t>设计成果需满足核医学及放疗科医疗功能需求，保证诊疗流程顺畅，辐射防护措施科学有效，符合设备安装、施工工艺及工程验收标准，否则承担相应失职责任。</w:t>
      </w:r>
    </w:p>
    <w:p w14:paraId="35B384B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lang w:val="en-US" w:eastAsia="zh-CN"/>
        </w:rPr>
        <w:t>3.</w:t>
      </w:r>
      <w:r>
        <w:rPr>
          <w:rFonts w:hint="eastAsia"/>
          <w:sz w:val="21"/>
          <w:szCs w:val="21"/>
        </w:rPr>
        <w:t>根据合同要求，设计成果分阶段验收（方案设计、初步设计、施工图设计、最终验收），组织委托人和相关方进行各阶段设计成果审查，协助委托人按国家规定完成相关部门审核及备案。</w:t>
      </w:r>
    </w:p>
    <w:p w14:paraId="7FDEB03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lang w:val="en-US" w:eastAsia="zh-CN"/>
        </w:rPr>
        <w:t>4.</w:t>
      </w:r>
      <w:r>
        <w:rPr>
          <w:rFonts w:hint="eastAsia"/>
          <w:sz w:val="21"/>
          <w:szCs w:val="21"/>
        </w:rPr>
        <w:t>设计人应督促自身及相关方整理设计合同文件和技术档案资料，确保设计成果及技术档案资料齐全、完整、准确，满足审批备案、施工实施、档案归档及后续运维要求。</w:t>
      </w:r>
    </w:p>
    <w:p w14:paraId="73ACFEE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sz w:val="21"/>
          <w:szCs w:val="21"/>
        </w:rPr>
      </w:pPr>
      <w:r>
        <w:rPr>
          <w:rFonts w:hint="eastAsia"/>
          <w:b/>
          <w:bCs/>
          <w:sz w:val="21"/>
          <w:szCs w:val="21"/>
          <w:lang w:val="en-US" w:eastAsia="zh-CN"/>
        </w:rPr>
        <w:t>九</w:t>
      </w:r>
      <w:r>
        <w:rPr>
          <w:rFonts w:hint="eastAsia"/>
          <w:b/>
          <w:bCs/>
          <w:sz w:val="21"/>
          <w:szCs w:val="21"/>
        </w:rPr>
        <w:t>．关于设计服务结算约定：</w:t>
      </w:r>
    </w:p>
    <w:p w14:paraId="3867D1A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rPr>
        <w:t>1.报价方式：本项目设计服务采用费率报价形式，设计人须按投标自报费率进行报价，最终设计费按以下公式计算：设计费=经审核确认的工程</w:t>
      </w:r>
      <w:r>
        <w:rPr>
          <w:rFonts w:hint="eastAsia"/>
          <w:sz w:val="21"/>
          <w:szCs w:val="21"/>
          <w:lang w:val="en-US" w:eastAsia="zh-CN"/>
        </w:rPr>
        <w:t>结算</w:t>
      </w:r>
      <w:r>
        <w:rPr>
          <w:rFonts w:hint="eastAsia"/>
          <w:sz w:val="21"/>
          <w:szCs w:val="21"/>
        </w:rPr>
        <w:t>价×设计人的投标自报费率</w:t>
      </w:r>
    </w:p>
    <w:p w14:paraId="5F3958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rPr>
        <w:t>2.本项目设计费实行按成果分阶段结算，各阶段结算须同时满足以下全部条件后方可核算支付，缺一不可：</w:t>
      </w:r>
    </w:p>
    <w:p w14:paraId="53D7412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rPr>
        <w:t>（1）设计人已按本方案约定完成该阶段全部设计服务成果，成果内容完整、符合规范要求；</w:t>
      </w:r>
    </w:p>
    <w:p w14:paraId="5D2A3F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rPr>
        <w:t>（2）阶段服务成果经委托人（甲方）书面确认合格；</w:t>
      </w:r>
    </w:p>
    <w:p w14:paraId="7940D54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rPr>
        <w:t>（3）阶段服务成果通过第三方专业审核机构（委托人指定）审核通过；</w:t>
      </w:r>
    </w:p>
    <w:p w14:paraId="2931EA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sz w:val="21"/>
          <w:szCs w:val="21"/>
          <w:lang w:eastAsia="zh-CN"/>
        </w:rPr>
      </w:pPr>
      <w:r>
        <w:rPr>
          <w:rFonts w:hint="eastAsia"/>
          <w:sz w:val="21"/>
          <w:szCs w:val="21"/>
        </w:rPr>
        <w:t>（4）涉及相关政府部门审核、备案的阶段成果（如施工图审查、辐射安全备案等），已取得政府相关部门出具的审核通过文件或备案凭证</w:t>
      </w:r>
      <w:r>
        <w:rPr>
          <w:rFonts w:hint="eastAsia"/>
          <w:sz w:val="21"/>
          <w:szCs w:val="21"/>
          <w:lang w:eastAsia="zh-CN"/>
        </w:rPr>
        <w:t>。</w:t>
      </w:r>
    </w:p>
    <w:p w14:paraId="13BD443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sz w:val="21"/>
          <w:szCs w:val="21"/>
        </w:rPr>
      </w:pPr>
      <w:r>
        <w:rPr>
          <w:rFonts w:hint="eastAsia"/>
          <w:b/>
          <w:bCs/>
          <w:sz w:val="21"/>
          <w:szCs w:val="21"/>
          <w:lang w:val="en-US" w:eastAsia="zh-CN"/>
        </w:rPr>
        <w:t>十</w:t>
      </w:r>
      <w:r>
        <w:rPr>
          <w:rFonts w:hint="eastAsia"/>
          <w:b/>
          <w:bCs/>
          <w:sz w:val="21"/>
          <w:szCs w:val="21"/>
        </w:rPr>
        <w:t>．违约责任：</w:t>
      </w:r>
    </w:p>
    <w:p w14:paraId="2BD96BC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rPr>
        <w:t>1.委托人有权随时检查设计人的服务履行情况，并向设计人提出修改要求。</w:t>
      </w:r>
    </w:p>
    <w:p w14:paraId="5BDB58F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lang w:val="en-US" w:eastAsia="zh-CN"/>
        </w:rPr>
        <w:t>2.</w:t>
      </w:r>
      <w:r>
        <w:rPr>
          <w:rFonts w:hint="eastAsia"/>
          <w:sz w:val="21"/>
          <w:szCs w:val="21"/>
        </w:rPr>
        <w:t>当发生服务违约时，委托人有权要求设计人赔偿损失。</w:t>
      </w:r>
    </w:p>
    <w:p w14:paraId="34A5D8C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lang w:val="en-US" w:eastAsia="zh-CN"/>
        </w:rPr>
        <w:t>3.</w:t>
      </w:r>
      <w:r>
        <w:rPr>
          <w:rFonts w:hint="eastAsia"/>
          <w:sz w:val="21"/>
          <w:szCs w:val="21"/>
        </w:rPr>
        <w:t>设计人应按招标文件的要求、投标文件的承诺和本方案要求提供服务，发生任何服务的变更均须向委托人提交书面报审报告，经委托人书面同意后方可实施。</w:t>
      </w:r>
    </w:p>
    <w:p w14:paraId="60E5F1C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lang w:val="en-US" w:eastAsia="zh-CN"/>
        </w:rPr>
        <w:t>4.</w:t>
      </w:r>
      <w:r>
        <w:rPr>
          <w:rFonts w:hint="eastAsia"/>
          <w:sz w:val="21"/>
          <w:szCs w:val="21"/>
        </w:rPr>
        <w:t>设计人在提供服务过程中如因自身原因造成委托人设备损坏或资料泄露的，设计人应照价赔偿或承担相应责任；若因此引起其他损失的，由设计人承担。</w:t>
      </w:r>
    </w:p>
    <w:p w14:paraId="0068E5E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lang w:val="en-US" w:eastAsia="zh-CN"/>
        </w:rPr>
        <w:t>5.</w:t>
      </w:r>
      <w:r>
        <w:rPr>
          <w:rFonts w:hint="eastAsia"/>
          <w:sz w:val="21"/>
          <w:szCs w:val="21"/>
        </w:rPr>
        <w:t>若因设计人提交的阶段服务成果不符合要求，导致未通过审核进而影响结算支付的，设计人应在委托人要求的期限内无偿整改完善，直至通过全部审核；逾期未整改或整改后仍未通过的，每逾期1天按该阶段应付设计费的0.5%支付违约金，累计违约金不超过该阶段设计费的10%；情节严重导致项目进度延误超过15天的，委托人有权解除合同，并要求设计人承担由此造成的损失。</w:t>
      </w:r>
    </w:p>
    <w:p w14:paraId="6D96A46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1"/>
          <w:szCs w:val="21"/>
        </w:rPr>
      </w:pPr>
      <w:r>
        <w:rPr>
          <w:rFonts w:hint="eastAsia"/>
          <w:sz w:val="21"/>
          <w:szCs w:val="21"/>
          <w:lang w:val="en-US" w:eastAsia="zh-CN"/>
        </w:rPr>
        <w:t>6.</w:t>
      </w:r>
      <w:r>
        <w:rPr>
          <w:rFonts w:hint="eastAsia"/>
          <w:sz w:val="21"/>
          <w:szCs w:val="21"/>
        </w:rPr>
        <w:t>设计人未按约定配合委托人、第三方机构或政府部门审核工作，拒绝提交补充资料或隐瞒关键信息的，视为服务违约，委托人有权暂停该阶段结算支付，并处以5000-10000元罚款；造成审核工作延误超过10天的，额外按日支付违约金。</w:t>
      </w:r>
    </w:p>
    <w:p w14:paraId="5358371E">
      <w:pPr>
        <w:rPr>
          <w:rFonts w:hint="eastAsia" w:ascii="宋体" w:hAnsi="宋体" w:cs="宋体"/>
          <w:b/>
          <w:iCs/>
          <w:szCs w:val="21"/>
          <w:lang w:eastAsia="zh-CN"/>
        </w:rPr>
      </w:pPr>
      <w:bookmarkStart w:id="1" w:name="_GoBack"/>
      <w:bookmarkEnd w:id="1"/>
    </w:p>
    <w:sectPr>
      <w:pgSz w:w="11906" w:h="16838"/>
      <w:pgMar w:top="1134" w:right="1134" w:bottom="1134" w:left="1134" w:header="567"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2MmE2YTM1YTc3NTViYmVhN2I2MDA0NTc4YzU0MDEifQ=="/>
  </w:docVars>
  <w:rsids>
    <w:rsidRoot w:val="00480865"/>
    <w:rsid w:val="001A67CB"/>
    <w:rsid w:val="003D0404"/>
    <w:rsid w:val="003E38E9"/>
    <w:rsid w:val="00480865"/>
    <w:rsid w:val="005924B5"/>
    <w:rsid w:val="00691BD1"/>
    <w:rsid w:val="00AD6226"/>
    <w:rsid w:val="00CD3AA5"/>
    <w:rsid w:val="00D84ADA"/>
    <w:rsid w:val="00F62466"/>
    <w:rsid w:val="010D427B"/>
    <w:rsid w:val="04350271"/>
    <w:rsid w:val="04910D1F"/>
    <w:rsid w:val="058663AA"/>
    <w:rsid w:val="05A0746B"/>
    <w:rsid w:val="06063F3C"/>
    <w:rsid w:val="0808579C"/>
    <w:rsid w:val="08EB7817"/>
    <w:rsid w:val="09DE4A06"/>
    <w:rsid w:val="0E0662D9"/>
    <w:rsid w:val="0EB83A78"/>
    <w:rsid w:val="0F1E7653"/>
    <w:rsid w:val="0F87169C"/>
    <w:rsid w:val="12211934"/>
    <w:rsid w:val="13EE3A98"/>
    <w:rsid w:val="14D07641"/>
    <w:rsid w:val="14E32ED1"/>
    <w:rsid w:val="155B33AF"/>
    <w:rsid w:val="15A002F1"/>
    <w:rsid w:val="1740285C"/>
    <w:rsid w:val="17B42C2B"/>
    <w:rsid w:val="18AA7AC1"/>
    <w:rsid w:val="18E35B95"/>
    <w:rsid w:val="1C69738D"/>
    <w:rsid w:val="1CB87339"/>
    <w:rsid w:val="1D4B1F5B"/>
    <w:rsid w:val="1FA3607E"/>
    <w:rsid w:val="1FB77434"/>
    <w:rsid w:val="20547378"/>
    <w:rsid w:val="20FD356C"/>
    <w:rsid w:val="215A4BE5"/>
    <w:rsid w:val="220C0667"/>
    <w:rsid w:val="2342795C"/>
    <w:rsid w:val="23FE3883"/>
    <w:rsid w:val="25551BC9"/>
    <w:rsid w:val="25DA3E7C"/>
    <w:rsid w:val="263F63D5"/>
    <w:rsid w:val="26E52AD8"/>
    <w:rsid w:val="273B094A"/>
    <w:rsid w:val="28100029"/>
    <w:rsid w:val="28254FAB"/>
    <w:rsid w:val="2A331DAD"/>
    <w:rsid w:val="2AC05D36"/>
    <w:rsid w:val="2B627D86"/>
    <w:rsid w:val="2BC90C1A"/>
    <w:rsid w:val="2C550700"/>
    <w:rsid w:val="2D1E0AF2"/>
    <w:rsid w:val="2DCC67A0"/>
    <w:rsid w:val="2DD833F7"/>
    <w:rsid w:val="2E3031D3"/>
    <w:rsid w:val="2F6824F8"/>
    <w:rsid w:val="2F7470EF"/>
    <w:rsid w:val="2FB83480"/>
    <w:rsid w:val="31A812D2"/>
    <w:rsid w:val="34F52A80"/>
    <w:rsid w:val="35D07049"/>
    <w:rsid w:val="373C4996"/>
    <w:rsid w:val="37751C56"/>
    <w:rsid w:val="37D20E57"/>
    <w:rsid w:val="389E6F8B"/>
    <w:rsid w:val="396C735B"/>
    <w:rsid w:val="3A194356"/>
    <w:rsid w:val="3AA34D2C"/>
    <w:rsid w:val="3ABE1B66"/>
    <w:rsid w:val="3AC65EC2"/>
    <w:rsid w:val="3B0A6B5A"/>
    <w:rsid w:val="3B404329"/>
    <w:rsid w:val="3C1001A0"/>
    <w:rsid w:val="3E0B50C2"/>
    <w:rsid w:val="3F3D5750"/>
    <w:rsid w:val="40D53766"/>
    <w:rsid w:val="413C41DC"/>
    <w:rsid w:val="41E2584A"/>
    <w:rsid w:val="4255690C"/>
    <w:rsid w:val="4504286C"/>
    <w:rsid w:val="451A208F"/>
    <w:rsid w:val="45554E75"/>
    <w:rsid w:val="45815C6A"/>
    <w:rsid w:val="464E0242"/>
    <w:rsid w:val="46AE405F"/>
    <w:rsid w:val="49AB1508"/>
    <w:rsid w:val="4AD66A58"/>
    <w:rsid w:val="4C940979"/>
    <w:rsid w:val="4F9A62A6"/>
    <w:rsid w:val="50C730CB"/>
    <w:rsid w:val="5331626F"/>
    <w:rsid w:val="54D92188"/>
    <w:rsid w:val="557E0B2F"/>
    <w:rsid w:val="559D089E"/>
    <w:rsid w:val="568D26C1"/>
    <w:rsid w:val="5831588C"/>
    <w:rsid w:val="585A4825"/>
    <w:rsid w:val="5B0668FC"/>
    <w:rsid w:val="5B6D2AC1"/>
    <w:rsid w:val="5E4C4C10"/>
    <w:rsid w:val="5FCD7FD2"/>
    <w:rsid w:val="60FA4DF7"/>
    <w:rsid w:val="6109503A"/>
    <w:rsid w:val="626339C6"/>
    <w:rsid w:val="62CA25A7"/>
    <w:rsid w:val="63D27965"/>
    <w:rsid w:val="66AB0941"/>
    <w:rsid w:val="66D25ECE"/>
    <w:rsid w:val="672C3830"/>
    <w:rsid w:val="676A4358"/>
    <w:rsid w:val="68FC5484"/>
    <w:rsid w:val="6A503CD9"/>
    <w:rsid w:val="6A835E5D"/>
    <w:rsid w:val="6B3D0CB2"/>
    <w:rsid w:val="6D602485"/>
    <w:rsid w:val="6D855A48"/>
    <w:rsid w:val="6E9F2B3A"/>
    <w:rsid w:val="6EE90259"/>
    <w:rsid w:val="737C5FE2"/>
    <w:rsid w:val="74DA48CB"/>
    <w:rsid w:val="74F87447"/>
    <w:rsid w:val="75045FA1"/>
    <w:rsid w:val="75A826CA"/>
    <w:rsid w:val="772C2A99"/>
    <w:rsid w:val="7826607A"/>
    <w:rsid w:val="785E5813"/>
    <w:rsid w:val="7AFD57B8"/>
    <w:rsid w:val="7B6770D5"/>
    <w:rsid w:val="7BCC6F38"/>
    <w:rsid w:val="7D32101D"/>
    <w:rsid w:val="7D761851"/>
    <w:rsid w:val="7F6F781F"/>
    <w:rsid w:val="7F930498"/>
    <w:rsid w:val="7FA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link w:val="10"/>
    <w:unhideWhenUsed/>
    <w:qFormat/>
    <w:uiPriority w:val="99"/>
    <w:pPr>
      <w:tabs>
        <w:tab w:val="center" w:pos="4153"/>
        <w:tab w:val="right" w:pos="8306"/>
      </w:tabs>
      <w:snapToGrid w:val="0"/>
      <w:spacing w:line="240" w:lineRule="auto"/>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styleId="8">
    <w:name w:val="Strong"/>
    <w:basedOn w:val="7"/>
    <w:qFormat/>
    <w:uiPriority w:val="22"/>
    <w:rPr>
      <w:b/>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2824</Words>
  <Characters>2885</Characters>
  <Lines>10</Lines>
  <Paragraphs>2</Paragraphs>
  <TotalTime>12</TotalTime>
  <ScaleCrop>false</ScaleCrop>
  <LinksUpToDate>false</LinksUpToDate>
  <CharactersWithSpaces>2911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2022-06-14T07:28:00Z</dcterms:created>
  <dc:creator>齐 橼</dc:creator>
  <cp:lastModifiedBy>WPS_1698802286</cp:lastModifiedBy>
  <dcterms:modified xsi:type="dcterms:W3CDTF">2025-12-15T06:20:31Z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7187932E62D24AD0A06CCAFEC2EED065_13</vt:lpwstr>
  </property>
  <property fmtid="{D5CDD505-2E9C-101B-9397-08002B2CF9AE}" pid="4" name="KSOTemplateDocerSaveRecord">
    <vt:lpwstr>eyJoZGlkIjoiMTljNDZkZDk5MjYyNTU0NjU4Mjc0Nzk3NmEyNzcyNjciLCJ1c2VySWQiOiIxNTU0MjE4MDYyIn0=</vt:lpwstr>
  </property>
</Properties>
</file>