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9A469D">
      <w:pPr>
        <w:pStyle w:val="5"/>
        <w:spacing w:line="360" w:lineRule="auto"/>
        <w:jc w:val="center"/>
        <w:rPr>
          <w:sz w:val="32"/>
          <w:szCs w:val="32"/>
        </w:rPr>
      </w:pPr>
      <w:r>
        <w:rPr>
          <w:rFonts w:hint="eastAsia"/>
          <w:sz w:val="32"/>
          <w:szCs w:val="32"/>
        </w:rPr>
        <w:t>广州医科大学附属妇女儿童医疗中心电梯维保服务项目需求</w:t>
      </w:r>
    </w:p>
    <w:p w14:paraId="1E32A727">
      <w:pPr>
        <w:pStyle w:val="5"/>
        <w:spacing w:line="360" w:lineRule="auto"/>
      </w:pPr>
      <w:r>
        <w:rPr>
          <w:sz w:val="28"/>
          <w:szCs w:val="28"/>
        </w:rPr>
        <w:t>一、项目内容</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760"/>
        <w:gridCol w:w="2760"/>
        <w:gridCol w:w="2760"/>
      </w:tblGrid>
      <w:tr w14:paraId="5A9CE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atLeast"/>
          <w:jc w:val="center"/>
        </w:trPr>
        <w:tc>
          <w:tcPr>
            <w:tcW w:w="2760" w:type="dxa"/>
            <w:tcMar>
              <w:top w:w="60" w:type="dxa"/>
              <w:left w:w="120" w:type="dxa"/>
              <w:bottom w:w="30" w:type="dxa"/>
              <w:right w:w="120" w:type="dxa"/>
            </w:tcMar>
          </w:tcPr>
          <w:p w14:paraId="1BAC52C7">
            <w:pPr>
              <w:pStyle w:val="17"/>
              <w:spacing w:line="360" w:lineRule="auto"/>
            </w:pPr>
            <w:r>
              <w:rPr>
                <w:b/>
                <w:bCs/>
              </w:rPr>
              <w:t>项目名称</w:t>
            </w:r>
          </w:p>
        </w:tc>
        <w:tc>
          <w:tcPr>
            <w:tcW w:w="2760" w:type="dxa"/>
            <w:tcMar>
              <w:top w:w="60" w:type="dxa"/>
              <w:left w:w="120" w:type="dxa"/>
              <w:bottom w:w="30" w:type="dxa"/>
              <w:right w:w="120" w:type="dxa"/>
            </w:tcMar>
          </w:tcPr>
          <w:p w14:paraId="34D10850">
            <w:pPr>
              <w:pStyle w:val="17"/>
              <w:spacing w:line="360" w:lineRule="auto"/>
            </w:pPr>
            <w:r>
              <w:rPr>
                <w:b/>
                <w:bCs/>
              </w:rPr>
              <w:t>最高限价</w:t>
            </w:r>
            <w:r>
              <w:t>（人民币/元）</w:t>
            </w:r>
          </w:p>
        </w:tc>
        <w:tc>
          <w:tcPr>
            <w:tcW w:w="2760" w:type="dxa"/>
            <w:tcMar>
              <w:top w:w="60" w:type="dxa"/>
              <w:left w:w="120" w:type="dxa"/>
              <w:bottom w:w="30" w:type="dxa"/>
              <w:right w:w="120" w:type="dxa"/>
            </w:tcMar>
          </w:tcPr>
          <w:p w14:paraId="69DA6F75">
            <w:pPr>
              <w:pStyle w:val="17"/>
              <w:spacing w:line="360" w:lineRule="auto"/>
            </w:pPr>
            <w:r>
              <w:rPr>
                <w:b/>
                <w:bCs/>
              </w:rPr>
              <w:t>服务时间</w:t>
            </w:r>
          </w:p>
        </w:tc>
      </w:tr>
      <w:tr w14:paraId="77D47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167" w:hRule="atLeast"/>
          <w:jc w:val="center"/>
        </w:trPr>
        <w:tc>
          <w:tcPr>
            <w:tcW w:w="2760" w:type="dxa"/>
            <w:tcMar>
              <w:top w:w="60" w:type="dxa"/>
              <w:left w:w="120" w:type="dxa"/>
              <w:bottom w:w="30" w:type="dxa"/>
              <w:right w:w="120" w:type="dxa"/>
            </w:tcMar>
          </w:tcPr>
          <w:p w14:paraId="3807CD1F">
            <w:pPr>
              <w:pStyle w:val="17"/>
              <w:spacing w:line="360" w:lineRule="auto"/>
            </w:pPr>
            <w:r>
              <w:t>广州医科大学附属妇女儿童医疗中心珠江</w:t>
            </w:r>
            <w:r>
              <w:rPr>
                <w:rFonts w:hint="eastAsia"/>
              </w:rPr>
              <w:t>新城</w:t>
            </w:r>
            <w:r>
              <w:t>院区小型货梯及白云院区</w:t>
            </w:r>
            <w:r>
              <w:rPr>
                <w:rFonts w:hint="eastAsia"/>
              </w:rPr>
              <w:t>客梯</w:t>
            </w:r>
            <w:r>
              <w:t>维保服务项目</w:t>
            </w:r>
          </w:p>
        </w:tc>
        <w:tc>
          <w:tcPr>
            <w:tcW w:w="2760" w:type="dxa"/>
            <w:tcMar>
              <w:top w:w="60" w:type="dxa"/>
              <w:left w:w="120" w:type="dxa"/>
              <w:bottom w:w="30" w:type="dxa"/>
              <w:right w:w="120" w:type="dxa"/>
            </w:tcMar>
          </w:tcPr>
          <w:p w14:paraId="25AB63DB">
            <w:pPr>
              <w:pStyle w:val="17"/>
              <w:spacing w:line="360" w:lineRule="auto"/>
            </w:pPr>
            <w:r>
              <w:t xml:space="preserve">人民币 </w:t>
            </w:r>
            <w:r>
              <w:rPr>
                <w:rFonts w:hint="eastAsia"/>
              </w:rPr>
              <w:t>？？</w:t>
            </w:r>
            <w:r>
              <w:rPr>
                <w:b/>
                <w:bCs/>
              </w:rPr>
              <w:t>万元</w:t>
            </w:r>
          </w:p>
        </w:tc>
        <w:tc>
          <w:tcPr>
            <w:tcW w:w="2760" w:type="dxa"/>
            <w:tcMar>
              <w:top w:w="60" w:type="dxa"/>
              <w:left w:w="120" w:type="dxa"/>
              <w:bottom w:w="30" w:type="dxa"/>
              <w:right w:w="120" w:type="dxa"/>
            </w:tcMar>
          </w:tcPr>
          <w:p w14:paraId="5C5C2D92">
            <w:pPr>
              <w:pStyle w:val="17"/>
              <w:spacing w:line="360" w:lineRule="auto"/>
            </w:pPr>
            <w:r>
              <w:t>自合同签订之日起12个月</w:t>
            </w:r>
          </w:p>
        </w:tc>
      </w:tr>
    </w:tbl>
    <w:p w14:paraId="273517D1">
      <w:pPr>
        <w:pStyle w:val="17"/>
        <w:spacing w:line="360" w:lineRule="auto"/>
      </w:pPr>
      <w:r>
        <w:t>说明：</w:t>
      </w:r>
    </w:p>
    <w:p w14:paraId="54F174E2">
      <w:pPr>
        <w:pStyle w:val="17"/>
        <w:spacing w:line="360" w:lineRule="auto"/>
      </w:pPr>
      <w:r>
        <w:rPr>
          <w:rFonts w:hint="eastAsia"/>
        </w:rPr>
        <w:t>1. 具体结算金额将根据实际服务内容和合同约定执行。</w:t>
      </w:r>
    </w:p>
    <w:p w14:paraId="064B8B77">
      <w:pPr>
        <w:pStyle w:val="17"/>
        <w:spacing w:line="360" w:lineRule="auto"/>
      </w:pPr>
      <w:r>
        <w:rPr>
          <w:rFonts w:hint="eastAsia"/>
        </w:rPr>
        <w:t>2. 项目地点：广州医科大学附属妇女儿童医疗中心珠江新城院区及白云院区。</w:t>
      </w:r>
    </w:p>
    <w:p w14:paraId="7C002909">
      <w:pPr>
        <w:pStyle w:val="5"/>
        <w:spacing w:line="360" w:lineRule="auto"/>
        <w:rPr>
          <w:sz w:val="28"/>
          <w:szCs w:val="28"/>
        </w:rPr>
      </w:pPr>
      <w:r>
        <w:rPr>
          <w:sz w:val="28"/>
          <w:szCs w:val="28"/>
        </w:rPr>
        <w:t>二、项目概述</w:t>
      </w:r>
    </w:p>
    <w:p w14:paraId="50C47A72">
      <w:pPr>
        <w:pStyle w:val="17"/>
        <w:keepNext w:val="0"/>
        <w:keepLines w:val="0"/>
        <w:pageBreakBefore w:val="0"/>
        <w:widowControl/>
        <w:kinsoku/>
        <w:wordWrap/>
        <w:overflowPunct/>
        <w:topLinePunct w:val="0"/>
        <w:autoSpaceDE/>
        <w:autoSpaceDN/>
        <w:bidi w:val="0"/>
        <w:adjustRightInd/>
        <w:snapToGrid/>
        <w:spacing w:line="360" w:lineRule="auto"/>
        <w:ind w:firstLine="440" w:firstLineChars="200"/>
        <w:textAlignment w:val="auto"/>
      </w:pPr>
      <w:r>
        <w:rPr>
          <w:rFonts w:hint="eastAsia"/>
        </w:rPr>
        <w:t>本项目旨在为珠江新城院区2台小型货梯及白云院区2台客梯提供全面的年度维护保养服务，涵盖但不限于电梯设备的定期保养、故障维修、安全检测以及应急响应等内容，以确保电梯的安全、稳定运行，并完全符合国家及地方的特种设备管理规范。</w:t>
      </w:r>
    </w:p>
    <w:p w14:paraId="563F7EBE">
      <w:pPr>
        <w:pStyle w:val="17"/>
        <w:keepNext w:val="0"/>
        <w:keepLines w:val="0"/>
        <w:pageBreakBefore w:val="0"/>
        <w:widowControl/>
        <w:kinsoku/>
        <w:wordWrap/>
        <w:overflowPunct/>
        <w:topLinePunct w:val="0"/>
        <w:autoSpaceDE/>
        <w:autoSpaceDN/>
        <w:bidi w:val="0"/>
        <w:adjustRightInd/>
        <w:snapToGrid/>
        <w:spacing w:line="360" w:lineRule="auto"/>
        <w:ind w:firstLine="440" w:firstLineChars="200"/>
        <w:textAlignment w:val="auto"/>
      </w:pPr>
      <w:r>
        <w:rPr>
          <w:rFonts w:hint="eastAsia"/>
        </w:rPr>
        <w:t>广州医科大学附属妇女儿童医疗中心是华南地区规模最大的公立三级甲等妇女儿童专科医院，集预防、医疗、保健、科研、教学于一体。同时中心也是国家儿童区域医疗中心，投标单位需具备响应和配合医院开展相关活动的能力。</w:t>
      </w:r>
    </w:p>
    <w:p w14:paraId="42C39FB7">
      <w:pPr>
        <w:pStyle w:val="5"/>
        <w:spacing w:line="360" w:lineRule="auto"/>
      </w:pPr>
      <w:r>
        <w:rPr>
          <w:sz w:val="28"/>
          <w:szCs w:val="28"/>
        </w:rPr>
        <w:t>三、项目设备清单</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305"/>
        <w:gridCol w:w="2306"/>
        <w:gridCol w:w="2306"/>
        <w:gridCol w:w="2349"/>
      </w:tblGrid>
      <w:tr w14:paraId="2253E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7664D045">
            <w:pPr>
              <w:pStyle w:val="17"/>
              <w:spacing w:line="240" w:lineRule="auto"/>
            </w:pPr>
            <w:r>
              <w:rPr>
                <w:b/>
                <w:bCs/>
              </w:rPr>
              <w:t>院区</w:t>
            </w:r>
          </w:p>
        </w:tc>
        <w:tc>
          <w:tcPr>
            <w:tcW w:w="2760" w:type="dxa"/>
            <w:tcMar>
              <w:top w:w="60" w:type="dxa"/>
              <w:left w:w="120" w:type="dxa"/>
              <w:bottom w:w="30" w:type="dxa"/>
              <w:right w:w="120" w:type="dxa"/>
            </w:tcMar>
          </w:tcPr>
          <w:p w14:paraId="69ED2F26">
            <w:pPr>
              <w:pStyle w:val="17"/>
              <w:spacing w:line="240" w:lineRule="auto"/>
            </w:pPr>
            <w:r>
              <w:rPr>
                <w:b/>
                <w:bCs/>
              </w:rPr>
              <w:t>电梯数量</w:t>
            </w:r>
          </w:p>
        </w:tc>
        <w:tc>
          <w:tcPr>
            <w:tcW w:w="2760" w:type="dxa"/>
            <w:tcMar>
              <w:top w:w="60" w:type="dxa"/>
              <w:left w:w="120" w:type="dxa"/>
              <w:bottom w:w="30" w:type="dxa"/>
              <w:right w:w="120" w:type="dxa"/>
            </w:tcMar>
          </w:tcPr>
          <w:p w14:paraId="48BC8E0C">
            <w:pPr>
              <w:pStyle w:val="17"/>
              <w:spacing w:line="240" w:lineRule="auto"/>
            </w:pPr>
            <w:r>
              <w:rPr>
                <w:b/>
                <w:bCs/>
              </w:rPr>
              <w:t>设备类型</w:t>
            </w:r>
          </w:p>
        </w:tc>
        <w:tc>
          <w:tcPr>
            <w:tcW w:w="2760" w:type="dxa"/>
            <w:tcMar>
              <w:top w:w="60" w:type="dxa"/>
              <w:left w:w="120" w:type="dxa"/>
              <w:bottom w:w="30" w:type="dxa"/>
              <w:right w:w="120" w:type="dxa"/>
            </w:tcMar>
          </w:tcPr>
          <w:p w14:paraId="708CDCBB">
            <w:pPr>
              <w:pStyle w:val="17"/>
              <w:spacing w:line="240" w:lineRule="auto"/>
            </w:pPr>
            <w:r>
              <w:rPr>
                <w:b/>
                <w:bCs/>
              </w:rPr>
              <w:t>维保范围</w:t>
            </w:r>
          </w:p>
        </w:tc>
      </w:tr>
      <w:tr w14:paraId="1A746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015" w:hRule="atLeast"/>
        </w:trPr>
        <w:tc>
          <w:tcPr>
            <w:tcW w:w="2760" w:type="dxa"/>
            <w:tcMar>
              <w:top w:w="60" w:type="dxa"/>
              <w:left w:w="120" w:type="dxa"/>
              <w:bottom w:w="30" w:type="dxa"/>
              <w:right w:w="120" w:type="dxa"/>
            </w:tcMar>
          </w:tcPr>
          <w:p w14:paraId="24A8CF6A">
            <w:pPr>
              <w:pStyle w:val="17"/>
              <w:spacing w:line="240" w:lineRule="auto"/>
            </w:pPr>
            <w:r>
              <w:t>珠江新城院区</w:t>
            </w:r>
          </w:p>
        </w:tc>
        <w:tc>
          <w:tcPr>
            <w:tcW w:w="2760" w:type="dxa"/>
            <w:tcMar>
              <w:top w:w="60" w:type="dxa"/>
              <w:left w:w="120" w:type="dxa"/>
              <w:bottom w:w="30" w:type="dxa"/>
              <w:right w:w="120" w:type="dxa"/>
            </w:tcMar>
          </w:tcPr>
          <w:p w14:paraId="51F6DD84">
            <w:pPr>
              <w:pStyle w:val="17"/>
              <w:spacing w:line="240" w:lineRule="auto"/>
            </w:pPr>
            <w:r>
              <w:t>2台</w:t>
            </w:r>
          </w:p>
        </w:tc>
        <w:tc>
          <w:tcPr>
            <w:tcW w:w="2760" w:type="dxa"/>
            <w:tcMar>
              <w:top w:w="60" w:type="dxa"/>
              <w:left w:w="120" w:type="dxa"/>
              <w:bottom w:w="30" w:type="dxa"/>
              <w:right w:w="120" w:type="dxa"/>
            </w:tcMar>
          </w:tcPr>
          <w:p w14:paraId="541B6D7B">
            <w:pPr>
              <w:pStyle w:val="17"/>
              <w:spacing w:line="240" w:lineRule="auto"/>
            </w:pPr>
            <w:r>
              <w:rPr>
                <w:rFonts w:hint="eastAsia"/>
              </w:rPr>
              <w:t>菱安杂物电梯</w:t>
            </w:r>
          </w:p>
        </w:tc>
        <w:tc>
          <w:tcPr>
            <w:tcW w:w="2760" w:type="dxa"/>
            <w:tcMar>
              <w:top w:w="60" w:type="dxa"/>
              <w:left w:w="120" w:type="dxa"/>
              <w:bottom w:w="30" w:type="dxa"/>
              <w:right w:w="120" w:type="dxa"/>
            </w:tcMar>
          </w:tcPr>
          <w:p w14:paraId="7DEF5BC2">
            <w:pPr>
              <w:pStyle w:val="17"/>
              <w:spacing w:line="240" w:lineRule="auto"/>
            </w:pPr>
            <w:r>
              <w:t>主机、门机、控制系统、安全装置等</w:t>
            </w:r>
          </w:p>
        </w:tc>
      </w:tr>
      <w:tr w14:paraId="68927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7E461388">
            <w:pPr>
              <w:pStyle w:val="17"/>
              <w:spacing w:line="240" w:lineRule="auto"/>
            </w:pPr>
            <w:r>
              <w:t>白云院区</w:t>
            </w:r>
          </w:p>
        </w:tc>
        <w:tc>
          <w:tcPr>
            <w:tcW w:w="2760" w:type="dxa"/>
            <w:tcMar>
              <w:top w:w="60" w:type="dxa"/>
              <w:left w:w="120" w:type="dxa"/>
              <w:bottom w:w="30" w:type="dxa"/>
              <w:right w:w="120" w:type="dxa"/>
            </w:tcMar>
          </w:tcPr>
          <w:p w14:paraId="0ED64017">
            <w:pPr>
              <w:pStyle w:val="17"/>
              <w:spacing w:line="240" w:lineRule="auto"/>
            </w:pPr>
            <w:r>
              <w:t>2台</w:t>
            </w:r>
          </w:p>
        </w:tc>
        <w:tc>
          <w:tcPr>
            <w:tcW w:w="2760" w:type="dxa"/>
            <w:tcMar>
              <w:top w:w="60" w:type="dxa"/>
              <w:left w:w="120" w:type="dxa"/>
              <w:bottom w:w="30" w:type="dxa"/>
              <w:right w:w="120" w:type="dxa"/>
            </w:tcMar>
          </w:tcPr>
          <w:p w14:paraId="017FCE1B">
            <w:pPr>
              <w:pStyle w:val="17"/>
              <w:spacing w:line="240" w:lineRule="auto"/>
            </w:pPr>
            <w:r>
              <w:rPr>
                <w:rFonts w:hint="eastAsia"/>
              </w:rPr>
              <w:t>广日/日立</w:t>
            </w:r>
            <w:r>
              <w:t>客梯</w:t>
            </w:r>
          </w:p>
        </w:tc>
        <w:tc>
          <w:tcPr>
            <w:tcW w:w="2760" w:type="dxa"/>
            <w:tcMar>
              <w:top w:w="60" w:type="dxa"/>
              <w:left w:w="120" w:type="dxa"/>
              <w:bottom w:w="30" w:type="dxa"/>
              <w:right w:w="120" w:type="dxa"/>
            </w:tcMar>
          </w:tcPr>
          <w:p w14:paraId="64ABB959">
            <w:pPr>
              <w:pStyle w:val="17"/>
              <w:spacing w:line="240" w:lineRule="auto"/>
            </w:pPr>
            <w:r>
              <w:t>主机、门机、控制系统、安全装置等</w:t>
            </w:r>
          </w:p>
        </w:tc>
      </w:tr>
    </w:tbl>
    <w:p w14:paraId="58E51479">
      <w:pPr>
        <w:pStyle w:val="5"/>
        <w:spacing w:line="360" w:lineRule="auto"/>
        <w:rPr>
          <w:sz w:val="28"/>
          <w:szCs w:val="28"/>
        </w:rPr>
      </w:pPr>
      <w:r>
        <w:rPr>
          <w:sz w:val="28"/>
          <w:szCs w:val="28"/>
        </w:rPr>
        <w:t>四、服务内容与要求</w:t>
      </w:r>
    </w:p>
    <w:p w14:paraId="2608EE04">
      <w:pPr>
        <w:pStyle w:val="17"/>
        <w:keepNext w:val="0"/>
        <w:keepLines w:val="0"/>
        <w:pageBreakBefore w:val="0"/>
        <w:widowControl/>
        <w:kinsoku/>
        <w:wordWrap/>
        <w:overflowPunct/>
        <w:topLinePunct w:val="0"/>
        <w:autoSpaceDE/>
        <w:autoSpaceDN/>
        <w:bidi w:val="0"/>
        <w:adjustRightInd/>
        <w:snapToGrid/>
        <w:spacing w:line="360" w:lineRule="auto"/>
        <w:ind w:firstLine="440" w:firstLineChars="200"/>
        <w:textAlignment w:val="auto"/>
        <w:rPr>
          <w:b/>
          <w:bCs/>
        </w:rPr>
      </w:pPr>
      <w:r>
        <w:rPr>
          <w:rFonts w:hint="eastAsia"/>
          <w:b/>
          <w:bCs/>
        </w:rPr>
        <w:t>1. 日常维保服务</w:t>
      </w:r>
    </w:p>
    <w:p w14:paraId="340D5D86">
      <w:pPr>
        <w:pStyle w:val="17"/>
        <w:keepNext w:val="0"/>
        <w:keepLines w:val="0"/>
        <w:pageBreakBefore w:val="0"/>
        <w:widowControl/>
        <w:kinsoku/>
        <w:wordWrap/>
        <w:overflowPunct/>
        <w:topLinePunct w:val="0"/>
        <w:autoSpaceDE/>
        <w:autoSpaceDN/>
        <w:bidi w:val="0"/>
        <w:adjustRightInd/>
        <w:snapToGrid/>
        <w:spacing w:line="360" w:lineRule="auto"/>
        <w:ind w:firstLine="440" w:firstLineChars="200"/>
        <w:textAlignment w:val="auto"/>
      </w:pPr>
      <w:r>
        <w:rPr>
          <w:rFonts w:hint="eastAsia"/>
        </w:rPr>
        <w:t>每月至少进行2次定期现场维护，详细记录维护内容及设备的运行状况。按照《电梯维护保养规则》（TSG T5002-2017）执行保养项目，包含但不限于以下内容：</w:t>
      </w:r>
    </w:p>
    <w:p w14:paraId="30471C35">
      <w:pPr>
        <w:pStyle w:val="17"/>
        <w:keepNext w:val="0"/>
        <w:keepLines w:val="0"/>
        <w:pageBreakBefore w:val="0"/>
        <w:widowControl/>
        <w:kinsoku/>
        <w:wordWrap/>
        <w:overflowPunct/>
        <w:topLinePunct w:val="0"/>
        <w:autoSpaceDE/>
        <w:autoSpaceDN/>
        <w:bidi w:val="0"/>
        <w:adjustRightInd/>
        <w:snapToGrid/>
        <w:spacing w:line="360" w:lineRule="auto"/>
        <w:ind w:firstLine="440" w:firstLineChars="200"/>
        <w:textAlignment w:val="auto"/>
      </w:pPr>
      <w:r>
        <w:rPr>
          <w:rFonts w:hint="eastAsia"/>
        </w:rPr>
        <w:t>- 机械部件的润滑、清洁与调整；</w:t>
      </w:r>
    </w:p>
    <w:p w14:paraId="7B5F7ECF">
      <w:pPr>
        <w:pStyle w:val="17"/>
        <w:keepNext w:val="0"/>
        <w:keepLines w:val="0"/>
        <w:pageBreakBefore w:val="0"/>
        <w:widowControl/>
        <w:kinsoku/>
        <w:wordWrap/>
        <w:overflowPunct/>
        <w:topLinePunct w:val="0"/>
        <w:autoSpaceDE/>
        <w:autoSpaceDN/>
        <w:bidi w:val="0"/>
        <w:adjustRightInd/>
        <w:snapToGrid/>
        <w:spacing w:line="360" w:lineRule="auto"/>
        <w:ind w:firstLine="440" w:firstLineChars="200"/>
        <w:textAlignment w:val="auto"/>
      </w:pPr>
      <w:r>
        <w:rPr>
          <w:rFonts w:hint="eastAsia"/>
        </w:rPr>
        <w:t>- 电气系统的安全检测与线路紧固；</w:t>
      </w:r>
    </w:p>
    <w:p w14:paraId="0562590D">
      <w:pPr>
        <w:pStyle w:val="17"/>
        <w:keepNext w:val="0"/>
        <w:keepLines w:val="0"/>
        <w:pageBreakBefore w:val="0"/>
        <w:widowControl/>
        <w:kinsoku/>
        <w:wordWrap/>
        <w:overflowPunct/>
        <w:topLinePunct w:val="0"/>
        <w:autoSpaceDE/>
        <w:autoSpaceDN/>
        <w:bidi w:val="0"/>
        <w:adjustRightInd/>
        <w:snapToGrid/>
        <w:spacing w:line="360" w:lineRule="auto"/>
        <w:ind w:firstLine="440" w:firstLineChars="200"/>
        <w:textAlignment w:val="auto"/>
      </w:pPr>
      <w:r>
        <w:rPr>
          <w:rFonts w:hint="eastAsia"/>
        </w:rPr>
        <w:t>- 安全装置（如限速器、缓冲器、门锁等）的功能测试。</w:t>
      </w:r>
    </w:p>
    <w:p w14:paraId="2CB84465">
      <w:pPr>
        <w:pStyle w:val="17"/>
        <w:keepNext w:val="0"/>
        <w:keepLines w:val="0"/>
        <w:pageBreakBefore w:val="0"/>
        <w:widowControl/>
        <w:kinsoku/>
        <w:wordWrap/>
        <w:overflowPunct/>
        <w:topLinePunct w:val="0"/>
        <w:autoSpaceDE/>
        <w:autoSpaceDN/>
        <w:bidi w:val="0"/>
        <w:adjustRightInd/>
        <w:snapToGrid/>
        <w:spacing w:line="360" w:lineRule="auto"/>
        <w:ind w:firstLine="440" w:firstLineChars="200"/>
        <w:textAlignment w:val="auto"/>
        <w:rPr>
          <w:b/>
          <w:bCs/>
        </w:rPr>
      </w:pPr>
      <w:r>
        <w:rPr>
          <w:rFonts w:hint="eastAsia"/>
          <w:b/>
          <w:bCs/>
        </w:rPr>
        <w:t>2. 故障响应与维修</w:t>
      </w:r>
    </w:p>
    <w:p w14:paraId="74EDAE03">
      <w:pPr>
        <w:pStyle w:val="17"/>
        <w:keepNext w:val="0"/>
        <w:keepLines w:val="0"/>
        <w:pageBreakBefore w:val="0"/>
        <w:widowControl/>
        <w:kinsoku/>
        <w:wordWrap/>
        <w:overflowPunct/>
        <w:topLinePunct w:val="0"/>
        <w:autoSpaceDE/>
        <w:autoSpaceDN/>
        <w:bidi w:val="0"/>
        <w:adjustRightInd/>
        <w:snapToGrid/>
        <w:spacing w:line="360" w:lineRule="auto"/>
        <w:ind w:firstLine="440" w:firstLineChars="200"/>
        <w:textAlignment w:val="auto"/>
      </w:pPr>
      <w:r>
        <w:rPr>
          <w:rFonts w:hint="eastAsia"/>
        </w:rPr>
        <w:t>紧急故障：接到通知后，工作日须在30分钟内抵达现场，非工作日须在1小时内抵达，优先确保电梯恢复正常运行</w:t>
      </w:r>
      <w:bookmarkStart w:id="0" w:name="_GoBack"/>
      <w:bookmarkEnd w:id="0"/>
      <w:r>
        <w:rPr>
          <w:rFonts w:hint="eastAsia"/>
        </w:rPr>
        <w:t>。一般故障：须在1小时内响应，并在24小时内完成维修（特殊部件需采购的情况除外）。更换零部件时，必须使用原厂正品，相关费用按照合同约定执行（如需单独计费，须事先明确说明）。</w:t>
      </w:r>
    </w:p>
    <w:p w14:paraId="72C2C7C0">
      <w:pPr>
        <w:pStyle w:val="17"/>
        <w:keepNext w:val="0"/>
        <w:keepLines w:val="0"/>
        <w:pageBreakBefore w:val="0"/>
        <w:widowControl/>
        <w:kinsoku/>
        <w:wordWrap/>
        <w:overflowPunct/>
        <w:topLinePunct w:val="0"/>
        <w:autoSpaceDE/>
        <w:autoSpaceDN/>
        <w:bidi w:val="0"/>
        <w:adjustRightInd/>
        <w:snapToGrid/>
        <w:spacing w:line="360" w:lineRule="auto"/>
        <w:ind w:firstLine="440" w:firstLineChars="200"/>
        <w:textAlignment w:val="auto"/>
        <w:rPr>
          <w:b/>
          <w:bCs/>
        </w:rPr>
      </w:pPr>
      <w:r>
        <w:rPr>
          <w:rFonts w:hint="eastAsia"/>
          <w:b/>
          <w:bCs/>
        </w:rPr>
        <w:t>3. 安全与检测配合</w:t>
      </w:r>
    </w:p>
    <w:p w14:paraId="402F22D7">
      <w:pPr>
        <w:pStyle w:val="17"/>
        <w:keepNext w:val="0"/>
        <w:keepLines w:val="0"/>
        <w:pageBreakBefore w:val="0"/>
        <w:widowControl/>
        <w:kinsoku/>
        <w:wordWrap/>
        <w:overflowPunct/>
        <w:topLinePunct w:val="0"/>
        <w:autoSpaceDE/>
        <w:autoSpaceDN/>
        <w:bidi w:val="0"/>
        <w:adjustRightInd/>
        <w:snapToGrid/>
        <w:spacing w:line="360" w:lineRule="auto"/>
        <w:ind w:firstLine="440" w:firstLineChars="200"/>
        <w:textAlignment w:val="auto"/>
      </w:pPr>
      <w:r>
        <w:rPr>
          <w:rFonts w:hint="eastAsia"/>
        </w:rPr>
        <w:t>配合政府部门年度电梯安全检测，确保设备合规运行。负责提供维保过程中产生的废弃物（如废油、旧部件）的环保处理。</w:t>
      </w:r>
    </w:p>
    <w:p w14:paraId="0849DD75">
      <w:pPr>
        <w:pStyle w:val="17"/>
        <w:keepNext w:val="0"/>
        <w:keepLines w:val="0"/>
        <w:pageBreakBefore w:val="0"/>
        <w:widowControl/>
        <w:kinsoku/>
        <w:wordWrap/>
        <w:overflowPunct/>
        <w:topLinePunct w:val="0"/>
        <w:autoSpaceDE/>
        <w:autoSpaceDN/>
        <w:bidi w:val="0"/>
        <w:adjustRightInd/>
        <w:snapToGrid/>
        <w:spacing w:line="360" w:lineRule="auto"/>
        <w:ind w:firstLine="440" w:firstLineChars="200"/>
        <w:textAlignment w:val="auto"/>
        <w:rPr>
          <w:b/>
          <w:bCs/>
        </w:rPr>
      </w:pPr>
      <w:r>
        <w:rPr>
          <w:rFonts w:hint="eastAsia"/>
          <w:b/>
          <w:bCs/>
        </w:rPr>
        <w:t>4. 人员与资质要求</w:t>
      </w:r>
    </w:p>
    <w:p w14:paraId="05CF146F">
      <w:pPr>
        <w:pStyle w:val="17"/>
        <w:keepNext w:val="0"/>
        <w:keepLines w:val="0"/>
        <w:pageBreakBefore w:val="0"/>
        <w:widowControl/>
        <w:kinsoku/>
        <w:wordWrap/>
        <w:overflowPunct/>
        <w:topLinePunct w:val="0"/>
        <w:autoSpaceDE/>
        <w:autoSpaceDN/>
        <w:bidi w:val="0"/>
        <w:adjustRightInd/>
        <w:snapToGrid/>
        <w:spacing w:line="360" w:lineRule="auto"/>
        <w:ind w:firstLine="440" w:firstLineChars="200"/>
        <w:textAlignment w:val="auto"/>
      </w:pPr>
      <w:r>
        <w:rPr>
          <w:rFonts w:hint="eastAsia"/>
        </w:rPr>
        <w:t>维保团队：需指定1名具备电梯维保技术负责人资质的项目经理，并配备持有《特种设备作业人员证》的专业维保人员不少于2人。</w:t>
      </w:r>
    </w:p>
    <w:p w14:paraId="35A831E8">
      <w:pPr>
        <w:pStyle w:val="17"/>
        <w:keepNext w:val="0"/>
        <w:keepLines w:val="0"/>
        <w:pageBreakBefore w:val="0"/>
        <w:widowControl/>
        <w:kinsoku/>
        <w:wordWrap/>
        <w:overflowPunct/>
        <w:topLinePunct w:val="0"/>
        <w:autoSpaceDE/>
        <w:autoSpaceDN/>
        <w:bidi w:val="0"/>
        <w:adjustRightInd/>
        <w:snapToGrid/>
        <w:spacing w:line="360" w:lineRule="auto"/>
        <w:ind w:firstLine="440" w:firstLineChars="200"/>
        <w:textAlignment w:val="auto"/>
      </w:pPr>
      <w:r>
        <w:rPr>
          <w:rFonts w:hint="eastAsia"/>
        </w:rPr>
        <w:t>资质要求：投标人须持有有效期内《特种设备安装改造维修许可证》（电梯维保类）。</w:t>
      </w:r>
    </w:p>
    <w:p w14:paraId="2F3B757D">
      <w:pPr>
        <w:pStyle w:val="5"/>
        <w:spacing w:line="360" w:lineRule="auto"/>
        <w:rPr>
          <w:sz w:val="28"/>
          <w:szCs w:val="28"/>
        </w:rPr>
      </w:pPr>
      <w:r>
        <w:rPr>
          <w:sz w:val="28"/>
          <w:szCs w:val="28"/>
        </w:rPr>
        <w:t>五、中标人责任</w:t>
      </w:r>
    </w:p>
    <w:p w14:paraId="3EFAF4D6">
      <w:pPr>
        <w:pStyle w:val="17"/>
        <w:spacing w:line="360" w:lineRule="auto"/>
        <w:ind w:firstLine="220" w:firstLineChars="100"/>
      </w:pPr>
      <w:r>
        <w:rPr>
          <w:rFonts w:hint="eastAsia"/>
        </w:rPr>
        <w:t>1、确保维保质量完全符合国家及地方相关标准，若因维保不当引发的安全事故，中标人将承担全部责任。</w:t>
      </w:r>
    </w:p>
    <w:p w14:paraId="3AD018D8">
      <w:pPr>
        <w:pStyle w:val="17"/>
        <w:spacing w:line="360" w:lineRule="auto"/>
        <w:ind w:firstLine="220" w:firstLineChars="100"/>
      </w:pPr>
      <w:r>
        <w:rPr>
          <w:rFonts w:hint="eastAsia"/>
        </w:rPr>
        <w:t>2、为确保维保人员在作业过程中的人身安全，公司为其购买工伤保险及意外险，并要求其在作业时必须穿戴相应的安全防护装备。</w:t>
      </w:r>
    </w:p>
    <w:p w14:paraId="43F6793A">
      <w:pPr>
        <w:pStyle w:val="17"/>
        <w:spacing w:line="360" w:lineRule="auto"/>
        <w:ind w:firstLine="220" w:firstLineChars="100"/>
      </w:pPr>
      <w:r>
        <w:rPr>
          <w:rFonts w:hint="eastAsia"/>
        </w:rPr>
        <w:t>3、建立健全的维保档案，并每月定期提交《电梯维保报告》，其中涵盖保养项目、故障处理记录等相关内容。</w:t>
      </w:r>
    </w:p>
    <w:p w14:paraId="749259AC">
      <w:pPr>
        <w:pStyle w:val="17"/>
        <w:spacing w:line="360" w:lineRule="auto"/>
        <w:ind w:firstLine="220" w:firstLineChars="100"/>
      </w:pPr>
      <w:r>
        <w:rPr>
          <w:rFonts w:hint="eastAsia"/>
        </w:rPr>
        <w:t>4、严禁将维保服务进行转包或分包，一旦违反，采购人有权终止合同。</w:t>
      </w:r>
    </w:p>
    <w:p w14:paraId="35C01107">
      <w:pPr>
        <w:pStyle w:val="5"/>
        <w:spacing w:line="360" w:lineRule="auto"/>
        <w:rPr>
          <w:sz w:val="28"/>
          <w:szCs w:val="28"/>
        </w:rPr>
      </w:pPr>
      <w:r>
        <w:rPr>
          <w:sz w:val="28"/>
          <w:szCs w:val="28"/>
        </w:rPr>
        <w:t>六、</w:t>
      </w:r>
      <w:r>
        <w:rPr>
          <w:rFonts w:hint="eastAsia"/>
          <w:sz w:val="28"/>
          <w:szCs w:val="28"/>
        </w:rPr>
        <w:t>付款</w:t>
      </w:r>
      <w:r>
        <w:rPr>
          <w:sz w:val="28"/>
          <w:szCs w:val="28"/>
        </w:rPr>
        <w:t>方式</w:t>
      </w:r>
    </w:p>
    <w:p w14:paraId="113BBFCA">
      <w:pPr>
        <w:pStyle w:val="17"/>
        <w:spacing w:line="360" w:lineRule="auto"/>
        <w:ind w:firstLine="220" w:firstLineChars="100"/>
      </w:pPr>
      <w:r>
        <w:rPr>
          <w:rFonts w:hint="eastAsia"/>
        </w:rPr>
        <w:t>1、</w:t>
      </w:r>
      <w:r>
        <w:t>按</w:t>
      </w:r>
      <w:r>
        <w:rPr>
          <w:rFonts w:hint="eastAsia"/>
        </w:rPr>
        <w:t>季度</w:t>
      </w:r>
      <w:r>
        <w:t>支付，每月固定金额为××元</w:t>
      </w:r>
    </w:p>
    <w:p w14:paraId="154347A7">
      <w:pPr>
        <w:pStyle w:val="17"/>
        <w:spacing w:line="360" w:lineRule="auto"/>
        <w:ind w:firstLine="220" w:firstLineChars="100"/>
      </w:pPr>
      <w:r>
        <w:rPr>
          <w:rFonts w:hint="eastAsia"/>
        </w:rPr>
        <w:t>2、每次付款时，</w:t>
      </w:r>
      <w:r>
        <w:t>中标人每</w:t>
      </w:r>
      <w:r>
        <w:rPr>
          <w:rFonts w:hint="eastAsia"/>
        </w:rPr>
        <w:t>季度后</w:t>
      </w:r>
      <w:r>
        <w:t>5日前</w:t>
      </w:r>
      <w:r>
        <w:rPr>
          <w:rFonts w:hint="eastAsia"/>
        </w:rPr>
        <w:t>将</w:t>
      </w:r>
      <w:r>
        <w:t>上</w:t>
      </w:r>
      <w:r>
        <w:rPr>
          <w:rFonts w:hint="eastAsia"/>
        </w:rPr>
        <w:t>季度维保费用发票、请款申请、</w:t>
      </w:r>
      <w:r>
        <w:t>维保服务确认单及</w:t>
      </w:r>
      <w:r>
        <w:rPr>
          <w:rFonts w:hint="eastAsia"/>
        </w:rPr>
        <w:t>合同等结算资料交采购方。</w:t>
      </w:r>
    </w:p>
    <w:p w14:paraId="3492C2AF">
      <w:pPr>
        <w:pStyle w:val="17"/>
        <w:spacing w:line="360" w:lineRule="auto"/>
        <w:ind w:left="432"/>
      </w:pPr>
    </w:p>
    <w:p w14:paraId="0E4D0D29">
      <w:pPr>
        <w:autoSpaceDE w:val="0"/>
        <w:spacing w:line="360" w:lineRule="auto"/>
        <w:rPr>
          <w:rFonts w:ascii="宋体" w:hAnsi="宋体" w:cs="宋体"/>
          <w:sz w:val="24"/>
        </w:rPr>
      </w:pPr>
    </w:p>
    <w:p w14:paraId="18F1D1C8">
      <w:pPr>
        <w:pStyle w:val="17"/>
        <w:spacing w:line="360" w:lineRule="auto"/>
        <w:ind w:left="432"/>
      </w:pPr>
    </w:p>
    <w:sectPr>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displayBackgroundShape w:val="1"/>
  <w:bordersDoNotSurroundHeader w:val="1"/>
  <w:bordersDoNotSurroundFooter w:val="1"/>
  <w:documentProtection w:enforcement="0"/>
  <w:defaultTabStop w:val="420"/>
  <w:characterSpacingControl w:val="doNotCompress"/>
  <w:compat>
    <w:useFELayout/>
    <w:compatSetting w:name="compatibilityMode" w:uri="http://schemas.microsoft.com/office/word" w:val="14"/>
  </w:compat>
  <w:rsids>
    <w:rsidRoot w:val="0084102B"/>
    <w:rsid w:val="00252961"/>
    <w:rsid w:val="0084102B"/>
    <w:rsid w:val="0E75593E"/>
    <w:rsid w:val="17656EAD"/>
    <w:rsid w:val="195D43CD"/>
    <w:rsid w:val="2B0C4A34"/>
    <w:rsid w:val="32C6038F"/>
    <w:rsid w:val="35117147"/>
    <w:rsid w:val="46DB27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sz w:val="21"/>
      <w:szCs w:val="22"/>
      <w:lang w:val="en-US" w:eastAsia="zh-CN" w:bidi="ar-SA"/>
    </w:rPr>
  </w:style>
  <w:style w:type="paragraph" w:styleId="3">
    <w:name w:val="heading 1"/>
    <w:next w:val="1"/>
    <w:qFormat/>
    <w:uiPriority w:val="0"/>
    <w:pPr>
      <w:spacing w:before="380" w:after="140" w:line="288" w:lineRule="auto"/>
      <w:outlineLvl w:val="0"/>
    </w:pPr>
    <w:rPr>
      <w:rFonts w:ascii="Arial" w:hAnsi="Arial" w:eastAsia="等线" w:cs="Arial"/>
      <w:b/>
      <w:bCs/>
      <w:sz w:val="36"/>
      <w:szCs w:val="36"/>
      <w:lang w:val="en-US" w:eastAsia="zh-CN" w:bidi="ar-SA"/>
    </w:rPr>
  </w:style>
  <w:style w:type="paragraph" w:styleId="4">
    <w:name w:val="heading 2"/>
    <w:next w:val="1"/>
    <w:qFormat/>
    <w:uiPriority w:val="0"/>
    <w:pPr>
      <w:spacing w:before="320" w:after="120" w:line="288" w:lineRule="auto"/>
      <w:outlineLvl w:val="1"/>
    </w:pPr>
    <w:rPr>
      <w:rFonts w:ascii="Arial" w:hAnsi="Arial" w:eastAsia="等线" w:cs="Arial"/>
      <w:b/>
      <w:bCs/>
      <w:sz w:val="32"/>
      <w:szCs w:val="32"/>
      <w:lang w:val="en-US" w:eastAsia="zh-CN" w:bidi="ar-SA"/>
    </w:rPr>
  </w:style>
  <w:style w:type="paragraph" w:styleId="5">
    <w:name w:val="heading 3"/>
    <w:next w:val="1"/>
    <w:qFormat/>
    <w:uiPriority w:val="0"/>
    <w:pPr>
      <w:spacing w:before="300" w:after="120" w:line="288" w:lineRule="auto"/>
      <w:outlineLvl w:val="2"/>
    </w:pPr>
    <w:rPr>
      <w:rFonts w:ascii="Arial" w:hAnsi="Arial" w:eastAsia="等线" w:cs="Arial"/>
      <w:b/>
      <w:bCs/>
      <w:sz w:val="30"/>
      <w:szCs w:val="30"/>
      <w:lang w:val="en-US" w:eastAsia="zh-CN" w:bidi="ar-SA"/>
    </w:rPr>
  </w:style>
  <w:style w:type="paragraph" w:styleId="6">
    <w:name w:val="heading 4"/>
    <w:next w:val="1"/>
    <w:qFormat/>
    <w:uiPriority w:val="0"/>
    <w:pPr>
      <w:spacing w:before="260" w:after="120" w:line="288" w:lineRule="auto"/>
      <w:outlineLvl w:val="3"/>
    </w:pPr>
    <w:rPr>
      <w:rFonts w:ascii="Arial" w:hAnsi="Arial" w:eastAsia="等线" w:cs="Arial"/>
      <w:b/>
      <w:bCs/>
      <w:sz w:val="28"/>
      <w:szCs w:val="28"/>
      <w:lang w:val="en-US" w:eastAsia="zh-CN" w:bidi="ar-SA"/>
    </w:rPr>
  </w:style>
  <w:style w:type="paragraph" w:styleId="7">
    <w:name w:val="heading 5"/>
    <w:next w:val="1"/>
    <w:qFormat/>
    <w:uiPriority w:val="0"/>
    <w:pPr>
      <w:spacing w:before="240" w:after="120" w:line="288" w:lineRule="auto"/>
      <w:outlineLvl w:val="4"/>
    </w:pPr>
    <w:rPr>
      <w:rFonts w:ascii="Arial" w:hAnsi="Arial" w:eastAsia="等线" w:cs="Arial"/>
      <w:b/>
      <w:bCs/>
      <w:sz w:val="24"/>
      <w:szCs w:val="24"/>
      <w:lang w:val="en-US" w:eastAsia="zh-CN" w:bidi="ar-SA"/>
    </w:rPr>
  </w:style>
  <w:style w:type="paragraph" w:styleId="8">
    <w:name w:val="heading 6"/>
    <w:next w:val="1"/>
    <w:qFormat/>
    <w:uiPriority w:val="0"/>
    <w:pPr>
      <w:spacing w:before="240" w:after="120" w:line="288" w:lineRule="auto"/>
      <w:outlineLvl w:val="5"/>
    </w:pPr>
    <w:rPr>
      <w:rFonts w:ascii="Arial" w:hAnsi="Arial" w:eastAsia="等线" w:cs="Arial"/>
      <w:b/>
      <w:bCs/>
      <w:sz w:val="24"/>
      <w:szCs w:val="24"/>
      <w:lang w:val="en-US" w:eastAsia="zh-CN" w:bidi="ar-SA"/>
    </w:rPr>
  </w:style>
  <w:style w:type="character" w:default="1" w:styleId="12">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customStyle="1" w:styleId="2">
    <w:name w:val="_Style 3"/>
    <w:basedOn w:val="1"/>
    <w:qFormat/>
    <w:uiPriority w:val="34"/>
    <w:pPr>
      <w:ind w:firstLine="420" w:firstLineChars="200"/>
    </w:pPr>
    <w:rPr>
      <w:rFonts w:ascii="Calibri" w:hAnsi="Calibri"/>
    </w:rPr>
  </w:style>
  <w:style w:type="paragraph" w:styleId="9">
    <w:name w:val="footnote text"/>
    <w:link w:val="16"/>
    <w:semiHidden/>
    <w:unhideWhenUsed/>
    <w:qFormat/>
    <w:uiPriority w:val="99"/>
    <w:rPr>
      <w:rFonts w:asciiTheme="minorHAnsi" w:hAnsiTheme="minorHAnsi" w:eastAsiaTheme="minorEastAsia" w:cstheme="minorBidi"/>
      <w:lang w:val="en-US" w:eastAsia="zh-CN" w:bidi="ar-SA"/>
    </w:rPr>
  </w:style>
  <w:style w:type="paragraph" w:styleId="10">
    <w:name w:val="Title"/>
    <w:qFormat/>
    <w:uiPriority w:val="0"/>
    <w:pPr>
      <w:spacing w:before="480" w:after="480" w:line="288" w:lineRule="auto"/>
    </w:pPr>
    <w:rPr>
      <w:rFonts w:ascii="Arial" w:hAnsi="Arial" w:eastAsia="等线" w:cs="Arial"/>
      <w:b/>
      <w:bCs/>
      <w:sz w:val="52"/>
      <w:szCs w:val="52"/>
      <w:lang w:val="en-US" w:eastAsia="zh-CN" w:bidi="ar-SA"/>
    </w:rPr>
  </w:style>
  <w:style w:type="character" w:styleId="13">
    <w:name w:val="Hyperlink"/>
    <w:unhideWhenUsed/>
    <w:qFormat/>
    <w:uiPriority w:val="99"/>
    <w:rPr>
      <w:color w:val="0563C1"/>
      <w:u w:val="single"/>
    </w:rPr>
  </w:style>
  <w:style w:type="character" w:styleId="14">
    <w:name w:val="footnote reference"/>
    <w:semiHidden/>
    <w:unhideWhenUsed/>
    <w:qFormat/>
    <w:uiPriority w:val="99"/>
    <w:rPr>
      <w:vertAlign w:val="superscript"/>
    </w:rPr>
  </w:style>
  <w:style w:type="paragraph" w:styleId="15">
    <w:name w:val="List Paragraph"/>
    <w:qFormat/>
    <w:uiPriority w:val="0"/>
    <w:rPr>
      <w:rFonts w:asciiTheme="minorHAnsi" w:hAnsiTheme="minorHAnsi" w:eastAsiaTheme="minorEastAsia" w:cstheme="minorBidi"/>
      <w:sz w:val="21"/>
      <w:szCs w:val="22"/>
      <w:lang w:val="en-US" w:eastAsia="zh-CN" w:bidi="ar-SA"/>
    </w:rPr>
  </w:style>
  <w:style w:type="character" w:customStyle="1" w:styleId="16">
    <w:name w:val="脚注文本 Char"/>
    <w:link w:val="9"/>
    <w:semiHidden/>
    <w:unhideWhenUsed/>
    <w:qFormat/>
    <w:uiPriority w:val="99"/>
    <w:rPr>
      <w:sz w:val="20"/>
      <w:szCs w:val="20"/>
    </w:rPr>
  </w:style>
  <w:style w:type="paragraph" w:customStyle="1" w:styleId="17">
    <w:name w:val="_Style 13"/>
    <w:qFormat/>
    <w:uiPriority w:val="0"/>
    <w:pPr>
      <w:spacing w:before="120" w:after="120" w:line="288" w:lineRule="auto"/>
    </w:pPr>
    <w:rPr>
      <w:rFonts w:ascii="Arial" w:hAnsi="Arial" w:eastAsia="等线" w:cs="Arial"/>
      <w:sz w:val="22"/>
      <w:szCs w:val="22"/>
      <w:lang w:val="en-US" w:eastAsia="zh-CN" w:bidi="ar-SA"/>
    </w:rPr>
  </w:style>
  <w:style w:type="paragraph" w:customStyle="1" w:styleId="18">
    <w:name w:val="_Style 14"/>
    <w:qFormat/>
    <w:uiPriority w:val="0"/>
    <w:pPr>
      <w:spacing w:before="120" w:after="120" w:line="288" w:lineRule="auto"/>
    </w:pPr>
    <w:rPr>
      <w:rFonts w:ascii="Arial" w:hAnsi="Arial" w:eastAsia="等线" w:cs="Arial"/>
      <w:color w:val="8F959E"/>
      <w:sz w:val="22"/>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1185</Words>
  <Characters>1206</Characters>
  <Lines>9</Lines>
  <Paragraphs>2</Paragraphs>
  <TotalTime>38</TotalTime>
  <ScaleCrop>false</ScaleCrop>
  <LinksUpToDate>false</LinksUpToDate>
  <CharactersWithSpaces>1218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2025-06-16T05:55:00Z</dcterms:created>
  <dc:creator>Un-named</dc:creator>
  <cp:lastModifiedBy>TXQ</cp:lastModifiedBy>
  <dcterms:modified xsi:type="dcterms:W3CDTF">2025-07-14T07:27:24Z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eyJoZGlkIjoiOWUwOWY1OThjOTBmY2I1M2U5OGEyOWE4OWU3MTI0MDIiLCJ1c2VySWQiOiI0MTgzNDI3MTAifQ==</vt:lpwstr>
  </property>
  <property fmtid="{D5CDD505-2E9C-101B-9397-08002B2CF9AE}" pid="3" name="KSOProductBuildVer">
    <vt:lpwstr>2052-12.1.0.21915</vt:lpwstr>
  </property>
  <property fmtid="{D5CDD505-2E9C-101B-9397-08002B2CF9AE}" pid="4" name="ICV">
    <vt:lpwstr>217854FE6A8E44B88B62D37AF68F1616_13</vt:lpwstr>
  </property>
</Properties>
</file>