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D214E">
      <w:pPr>
        <w:ind w:firstLine="482" w:firstLineChars="200"/>
        <w:jc w:val="center"/>
        <w:rPr>
          <w:rFonts w:hint="eastAsia" w:ascii="宋体" w:hAnsi="宋体" w:cs="宋体"/>
          <w:szCs w:val="21"/>
        </w:rPr>
      </w:pPr>
      <w:r>
        <w:rPr>
          <w:rFonts w:hint="eastAsia" w:ascii="宋体" w:hAnsi="宋体" w:cs="宋体"/>
          <w:b/>
          <w:sz w:val="24"/>
          <w:szCs w:val="24"/>
        </w:rPr>
        <w:t>《</w:t>
      </w:r>
      <w:r>
        <w:rPr>
          <w:rFonts w:hint="eastAsia" w:ascii="宋体" w:hAnsi="宋体" w:cs="宋体"/>
          <w:b/>
          <w:sz w:val="24"/>
          <w:szCs w:val="24"/>
          <w:lang w:val="en-US" w:eastAsia="zh-CN"/>
        </w:rPr>
        <w:t>儿童肿瘤及相关疾病分子检测项目</w:t>
      </w:r>
      <w:r>
        <w:rPr>
          <w:rFonts w:hint="eastAsia" w:ascii="宋体" w:hAnsi="宋体" w:cs="宋体"/>
          <w:b/>
          <w:sz w:val="24"/>
          <w:szCs w:val="24"/>
        </w:rPr>
        <w:t>整体解决方案》调研表</w:t>
      </w:r>
    </w:p>
    <w:p w14:paraId="1F1EBFBC">
      <w:pPr>
        <w:pStyle w:val="8"/>
        <w:numPr>
          <w:ilvl w:val="0"/>
          <w:numId w:val="1"/>
        </w:numPr>
        <w:ind w:firstLineChars="0"/>
        <w:rPr>
          <w:rFonts w:hint="eastAsia" w:ascii="黑体" w:hAnsi="黑体" w:eastAsia="黑体" w:cs="黑体"/>
          <w:b/>
          <w:bCs/>
          <w:spacing w:val="-15"/>
          <w:sz w:val="22"/>
        </w:rPr>
      </w:pPr>
      <w:r>
        <w:rPr>
          <w:rFonts w:hint="eastAsia" w:ascii="黑体" w:hAnsi="黑体" w:eastAsia="黑体" w:cs="黑体"/>
          <w:b/>
          <w:bCs/>
          <w:spacing w:val="-15"/>
          <w:sz w:val="22"/>
        </w:rPr>
        <w:t>供应商</w:t>
      </w:r>
      <w:r>
        <w:rPr>
          <w:rFonts w:ascii="黑体" w:hAnsi="黑体" w:eastAsia="黑体" w:cs="黑体"/>
          <w:b/>
          <w:bCs/>
          <w:spacing w:val="-15"/>
          <w:sz w:val="22"/>
        </w:rPr>
        <w:t>情况</w:t>
      </w:r>
      <w:r>
        <w:rPr>
          <w:rFonts w:hint="eastAsia" w:ascii="黑体" w:hAnsi="黑体" w:eastAsia="黑体" w:cs="黑体"/>
          <w:b/>
          <w:bCs/>
          <w:spacing w:val="-15"/>
          <w:sz w:val="22"/>
        </w:rPr>
        <w:t>：</w:t>
      </w:r>
    </w:p>
    <w:p w14:paraId="36DDCD3D">
      <w:pPr>
        <w:pStyle w:val="8"/>
        <w:ind w:left="1102" w:firstLine="0" w:firstLineChars="0"/>
        <w:rPr>
          <w:rFonts w:hint="eastAsia" w:ascii="黑体" w:hAnsi="黑体" w:eastAsia="黑体" w:cs="黑体"/>
          <w:b w:val="0"/>
          <w:bCs w:val="0"/>
          <w:spacing w:val="-15"/>
          <w:sz w:val="22"/>
        </w:rPr>
      </w:pPr>
      <w:r>
        <w:rPr>
          <w:rFonts w:hint="eastAsia" w:ascii="黑体" w:hAnsi="黑体" w:eastAsia="黑体" w:cs="黑体"/>
          <w:b w:val="0"/>
          <w:bCs w:val="0"/>
          <w:spacing w:val="-15"/>
          <w:sz w:val="22"/>
        </w:rPr>
        <w:t>1.供应商基本资料</w:t>
      </w:r>
    </w:p>
    <w:tbl>
      <w:tblPr>
        <w:tblStyle w:val="4"/>
        <w:tblW w:w="5006" w:type="pct"/>
        <w:tblInd w:w="130" w:type="dxa"/>
        <w:tblLayout w:type="autofit"/>
        <w:tblCellMar>
          <w:top w:w="0" w:type="dxa"/>
          <w:left w:w="0" w:type="dxa"/>
          <w:bottom w:w="0" w:type="dxa"/>
          <w:right w:w="0" w:type="dxa"/>
        </w:tblCellMar>
      </w:tblPr>
      <w:tblGrid>
        <w:gridCol w:w="2763"/>
        <w:gridCol w:w="730"/>
        <w:gridCol w:w="1895"/>
        <w:gridCol w:w="942"/>
        <w:gridCol w:w="2002"/>
      </w:tblGrid>
      <w:tr w14:paraId="22CFC88D">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6D6F2AA">
            <w:pPr>
              <w:pStyle w:val="9"/>
              <w:kinsoku w:val="0"/>
              <w:overflowPunct w:val="0"/>
              <w:jc w:val="center"/>
              <w:rPr>
                <w:rFonts w:cs="Times New Roman"/>
                <w:sz w:val="21"/>
                <w:szCs w:val="21"/>
              </w:rPr>
            </w:pPr>
            <w:r>
              <w:rPr>
                <w:rFonts w:hint="eastAsia" w:cs="Times New Roman"/>
                <w:sz w:val="21"/>
                <w:szCs w:val="21"/>
              </w:rPr>
              <w:t>单位名称</w:t>
            </w:r>
          </w:p>
        </w:tc>
        <w:tc>
          <w:tcPr>
            <w:tcW w:w="3341" w:type="pct"/>
            <w:gridSpan w:val="4"/>
            <w:tcBorders>
              <w:top w:val="single" w:color="000000" w:sz="4" w:space="0"/>
              <w:left w:val="nil"/>
              <w:bottom w:val="single" w:color="000000" w:sz="4" w:space="0"/>
              <w:right w:val="single" w:color="000000" w:sz="4" w:space="0"/>
            </w:tcBorders>
            <w:noWrap w:val="0"/>
            <w:vAlign w:val="center"/>
          </w:tcPr>
          <w:p w14:paraId="3F591A5F">
            <w:pPr>
              <w:jc w:val="center"/>
              <w:rPr>
                <w:rFonts w:ascii="宋体" w:hAnsi="宋体"/>
                <w:i/>
                <w:szCs w:val="21"/>
              </w:rPr>
            </w:pPr>
          </w:p>
        </w:tc>
      </w:tr>
      <w:tr w14:paraId="7E1D9F6F">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B4440FB">
            <w:pPr>
              <w:pStyle w:val="9"/>
              <w:kinsoku w:val="0"/>
              <w:overflowPunct w:val="0"/>
              <w:jc w:val="center"/>
              <w:rPr>
                <w:rFonts w:cs="Times New Roman"/>
                <w:sz w:val="21"/>
                <w:szCs w:val="21"/>
              </w:rPr>
            </w:pPr>
            <w:r>
              <w:rPr>
                <w:rFonts w:hint="eastAsia" w:cs="Times New Roman"/>
                <w:sz w:val="21"/>
                <w:szCs w:val="21"/>
              </w:rPr>
              <w:t>注册资金</w:t>
            </w:r>
          </w:p>
        </w:tc>
        <w:tc>
          <w:tcPr>
            <w:tcW w:w="1575" w:type="pct"/>
            <w:gridSpan w:val="2"/>
            <w:tcBorders>
              <w:top w:val="single" w:color="000000" w:sz="4" w:space="0"/>
              <w:left w:val="nil"/>
              <w:bottom w:val="single" w:color="000000" w:sz="4" w:space="0"/>
              <w:right w:val="single" w:color="000000" w:sz="4" w:space="0"/>
            </w:tcBorders>
            <w:noWrap w:val="0"/>
            <w:vAlign w:val="center"/>
          </w:tcPr>
          <w:p w14:paraId="11CBEB3B">
            <w:pPr>
              <w:jc w:val="center"/>
              <w:rPr>
                <w:rFonts w:ascii="宋体" w:hAnsi="宋体"/>
                <w:szCs w:val="21"/>
              </w:rPr>
            </w:pPr>
          </w:p>
        </w:tc>
        <w:tc>
          <w:tcPr>
            <w:tcW w:w="565" w:type="pct"/>
            <w:tcBorders>
              <w:top w:val="single" w:color="000000" w:sz="4" w:space="0"/>
              <w:left w:val="nil"/>
              <w:bottom w:val="single" w:color="000000" w:sz="4" w:space="0"/>
              <w:right w:val="single" w:color="000000" w:sz="4" w:space="0"/>
            </w:tcBorders>
            <w:noWrap w:val="0"/>
            <w:vAlign w:val="center"/>
          </w:tcPr>
          <w:p w14:paraId="78B4822B">
            <w:pPr>
              <w:pStyle w:val="9"/>
              <w:kinsoku w:val="0"/>
              <w:overflowPunct w:val="0"/>
              <w:jc w:val="center"/>
              <w:rPr>
                <w:rFonts w:cs="Times New Roman"/>
                <w:sz w:val="21"/>
                <w:szCs w:val="21"/>
              </w:rPr>
            </w:pPr>
            <w:r>
              <w:rPr>
                <w:rFonts w:hint="eastAsia" w:cs="Times New Roman"/>
                <w:sz w:val="21"/>
                <w:szCs w:val="21"/>
              </w:rPr>
              <w:t>成立时间</w:t>
            </w:r>
          </w:p>
        </w:tc>
        <w:tc>
          <w:tcPr>
            <w:tcW w:w="1199" w:type="pct"/>
            <w:tcBorders>
              <w:top w:val="single" w:color="000000" w:sz="4" w:space="0"/>
              <w:left w:val="nil"/>
              <w:bottom w:val="single" w:color="000000" w:sz="4" w:space="0"/>
              <w:right w:val="single" w:color="000000" w:sz="4" w:space="0"/>
            </w:tcBorders>
            <w:noWrap w:val="0"/>
            <w:vAlign w:val="center"/>
          </w:tcPr>
          <w:p w14:paraId="6799B0C4">
            <w:pPr>
              <w:jc w:val="center"/>
              <w:rPr>
                <w:rFonts w:ascii="宋体" w:hAnsi="宋体"/>
                <w:szCs w:val="21"/>
              </w:rPr>
            </w:pPr>
          </w:p>
        </w:tc>
      </w:tr>
      <w:tr w14:paraId="4593CB38">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BFC7848">
            <w:pPr>
              <w:pStyle w:val="9"/>
              <w:kinsoku w:val="0"/>
              <w:overflowPunct w:val="0"/>
              <w:jc w:val="center"/>
              <w:rPr>
                <w:rFonts w:cs="Times New Roman"/>
                <w:sz w:val="21"/>
                <w:szCs w:val="21"/>
              </w:rPr>
            </w:pPr>
            <w:r>
              <w:rPr>
                <w:rFonts w:hint="eastAsia" w:cs="Times New Roman"/>
                <w:sz w:val="21"/>
                <w:szCs w:val="21"/>
              </w:rPr>
              <w:t>注册地址</w:t>
            </w:r>
          </w:p>
        </w:tc>
        <w:tc>
          <w:tcPr>
            <w:tcW w:w="3341" w:type="pct"/>
            <w:gridSpan w:val="4"/>
            <w:tcBorders>
              <w:top w:val="single" w:color="000000" w:sz="4" w:space="0"/>
              <w:left w:val="nil"/>
              <w:bottom w:val="single" w:color="000000" w:sz="4" w:space="0"/>
              <w:right w:val="single" w:color="000000" w:sz="4" w:space="0"/>
            </w:tcBorders>
            <w:noWrap w:val="0"/>
            <w:vAlign w:val="center"/>
          </w:tcPr>
          <w:p w14:paraId="1943EFD0">
            <w:pPr>
              <w:jc w:val="center"/>
              <w:rPr>
                <w:rFonts w:ascii="宋体" w:hAnsi="宋体"/>
                <w:szCs w:val="21"/>
              </w:rPr>
            </w:pPr>
          </w:p>
        </w:tc>
      </w:tr>
      <w:tr w14:paraId="25D46974">
        <w:tblPrEx>
          <w:tblCellMar>
            <w:top w:w="0" w:type="dxa"/>
            <w:left w:w="0" w:type="dxa"/>
            <w:bottom w:w="0" w:type="dxa"/>
            <w:right w:w="0" w:type="dxa"/>
          </w:tblCellMar>
        </w:tblPrEx>
        <w:trPr>
          <w:trHeight w:val="316" w:hRule="atLeast"/>
        </w:trPr>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4B91605">
            <w:pPr>
              <w:pStyle w:val="9"/>
              <w:kinsoku w:val="0"/>
              <w:overflowPunct w:val="0"/>
              <w:jc w:val="center"/>
              <w:rPr>
                <w:rFonts w:cs="Times New Roman"/>
                <w:sz w:val="21"/>
                <w:szCs w:val="21"/>
              </w:rPr>
            </w:pPr>
            <w:r>
              <w:rPr>
                <w:rFonts w:hint="eastAsia" w:cs="Times New Roman"/>
                <w:sz w:val="21"/>
                <w:szCs w:val="21"/>
              </w:rPr>
              <w:t>邮政编码</w:t>
            </w:r>
          </w:p>
        </w:tc>
        <w:tc>
          <w:tcPr>
            <w:tcW w:w="1575" w:type="pct"/>
            <w:gridSpan w:val="2"/>
            <w:tcBorders>
              <w:top w:val="single" w:color="000000" w:sz="4" w:space="0"/>
              <w:left w:val="nil"/>
              <w:bottom w:val="single" w:color="000000" w:sz="4" w:space="0"/>
              <w:right w:val="single" w:color="000000" w:sz="4" w:space="0"/>
            </w:tcBorders>
            <w:noWrap w:val="0"/>
            <w:vAlign w:val="center"/>
          </w:tcPr>
          <w:p w14:paraId="7D63DCA1">
            <w:pPr>
              <w:jc w:val="center"/>
              <w:rPr>
                <w:rFonts w:ascii="宋体" w:hAnsi="宋体"/>
                <w:szCs w:val="21"/>
              </w:rPr>
            </w:pPr>
          </w:p>
        </w:tc>
        <w:tc>
          <w:tcPr>
            <w:tcW w:w="565" w:type="pct"/>
            <w:tcBorders>
              <w:top w:val="single" w:color="000000" w:sz="4" w:space="0"/>
              <w:left w:val="nil"/>
              <w:bottom w:val="single" w:color="000000" w:sz="4" w:space="0"/>
              <w:right w:val="single" w:color="000000" w:sz="4" w:space="0"/>
            </w:tcBorders>
            <w:noWrap w:val="0"/>
            <w:vAlign w:val="center"/>
          </w:tcPr>
          <w:p w14:paraId="0248AE67">
            <w:pPr>
              <w:pStyle w:val="9"/>
              <w:kinsoku w:val="0"/>
              <w:overflowPunct w:val="0"/>
              <w:jc w:val="center"/>
              <w:rPr>
                <w:rFonts w:cs="Times New Roman"/>
                <w:sz w:val="21"/>
                <w:szCs w:val="21"/>
              </w:rPr>
            </w:pPr>
            <w:r>
              <w:rPr>
                <w:rFonts w:hint="eastAsia" w:cs="Times New Roman"/>
                <w:sz w:val="21"/>
                <w:szCs w:val="21"/>
              </w:rPr>
              <w:t>员工总数</w:t>
            </w:r>
          </w:p>
        </w:tc>
        <w:tc>
          <w:tcPr>
            <w:tcW w:w="1199" w:type="pct"/>
            <w:tcBorders>
              <w:top w:val="single" w:color="000000" w:sz="4" w:space="0"/>
              <w:left w:val="nil"/>
              <w:bottom w:val="single" w:color="000000" w:sz="4" w:space="0"/>
              <w:right w:val="single" w:color="000000" w:sz="4" w:space="0"/>
            </w:tcBorders>
            <w:noWrap w:val="0"/>
            <w:vAlign w:val="center"/>
          </w:tcPr>
          <w:p w14:paraId="10B8E907">
            <w:pPr>
              <w:jc w:val="center"/>
              <w:rPr>
                <w:rFonts w:ascii="宋体" w:hAnsi="宋体"/>
                <w:szCs w:val="21"/>
              </w:rPr>
            </w:pPr>
          </w:p>
        </w:tc>
      </w:tr>
      <w:tr w14:paraId="7745712E">
        <w:tblPrEx>
          <w:tblCellMar>
            <w:top w:w="0" w:type="dxa"/>
            <w:left w:w="0" w:type="dxa"/>
            <w:bottom w:w="0" w:type="dxa"/>
            <w:right w:w="0" w:type="dxa"/>
          </w:tblCellMar>
        </w:tblPrEx>
        <w:tc>
          <w:tcPr>
            <w:tcW w:w="1658" w:type="pct"/>
            <w:vMerge w:val="restart"/>
            <w:tcBorders>
              <w:top w:val="nil"/>
              <w:left w:val="single" w:color="000000" w:sz="4" w:space="0"/>
              <w:bottom w:val="single" w:color="000000" w:sz="4" w:space="0"/>
              <w:right w:val="single" w:color="000000" w:sz="4" w:space="0"/>
            </w:tcBorders>
            <w:noWrap w:val="0"/>
            <w:vAlign w:val="center"/>
          </w:tcPr>
          <w:p w14:paraId="664FECC0">
            <w:pPr>
              <w:pStyle w:val="9"/>
              <w:kinsoku w:val="0"/>
              <w:overflowPunct w:val="0"/>
              <w:jc w:val="center"/>
              <w:rPr>
                <w:rFonts w:cs="Times New Roman"/>
                <w:sz w:val="21"/>
                <w:szCs w:val="21"/>
              </w:rPr>
            </w:pPr>
            <w:r>
              <w:rPr>
                <w:rFonts w:hint="eastAsia" w:cs="Times New Roman"/>
                <w:sz w:val="21"/>
                <w:szCs w:val="21"/>
              </w:rPr>
              <w:t>联系方式</w:t>
            </w:r>
          </w:p>
        </w:tc>
        <w:tc>
          <w:tcPr>
            <w:tcW w:w="438" w:type="pct"/>
            <w:tcBorders>
              <w:top w:val="single" w:color="000000" w:sz="4" w:space="0"/>
              <w:left w:val="nil"/>
              <w:bottom w:val="single" w:color="000000" w:sz="4" w:space="0"/>
              <w:right w:val="single" w:color="000000" w:sz="4" w:space="0"/>
            </w:tcBorders>
            <w:noWrap w:val="0"/>
            <w:vAlign w:val="center"/>
          </w:tcPr>
          <w:p w14:paraId="16A6D3A6">
            <w:pPr>
              <w:pStyle w:val="9"/>
              <w:kinsoku w:val="0"/>
              <w:overflowPunct w:val="0"/>
              <w:jc w:val="center"/>
              <w:rPr>
                <w:rFonts w:cs="Times New Roman"/>
                <w:sz w:val="21"/>
                <w:szCs w:val="21"/>
              </w:rPr>
            </w:pPr>
            <w:r>
              <w:rPr>
                <w:rFonts w:hint="eastAsia" w:cs="Times New Roman"/>
                <w:sz w:val="21"/>
                <w:szCs w:val="21"/>
              </w:rPr>
              <w:t>联系人</w:t>
            </w:r>
          </w:p>
        </w:tc>
        <w:tc>
          <w:tcPr>
            <w:tcW w:w="1137" w:type="pct"/>
            <w:tcBorders>
              <w:top w:val="single" w:color="000000" w:sz="4" w:space="0"/>
              <w:left w:val="nil"/>
              <w:bottom w:val="single" w:color="000000" w:sz="4" w:space="0"/>
              <w:right w:val="single" w:color="000000" w:sz="4" w:space="0"/>
            </w:tcBorders>
            <w:noWrap w:val="0"/>
            <w:vAlign w:val="center"/>
          </w:tcPr>
          <w:p w14:paraId="28F3D0D3">
            <w:pPr>
              <w:jc w:val="center"/>
              <w:rPr>
                <w:rFonts w:ascii="宋体" w:hAnsi="宋体"/>
                <w:szCs w:val="21"/>
              </w:rPr>
            </w:pPr>
          </w:p>
        </w:tc>
        <w:tc>
          <w:tcPr>
            <w:tcW w:w="565" w:type="pct"/>
            <w:tcBorders>
              <w:top w:val="single" w:color="000000" w:sz="4" w:space="0"/>
              <w:left w:val="nil"/>
              <w:bottom w:val="single" w:color="000000" w:sz="4" w:space="0"/>
              <w:right w:val="single" w:color="000000" w:sz="4" w:space="0"/>
            </w:tcBorders>
            <w:noWrap w:val="0"/>
            <w:vAlign w:val="center"/>
          </w:tcPr>
          <w:p w14:paraId="240E4C0A">
            <w:pPr>
              <w:pStyle w:val="9"/>
              <w:kinsoku w:val="0"/>
              <w:overflowPunct w:val="0"/>
              <w:jc w:val="center"/>
              <w:rPr>
                <w:rFonts w:cs="Times New Roman"/>
                <w:sz w:val="21"/>
                <w:szCs w:val="21"/>
              </w:rPr>
            </w:pPr>
            <w:r>
              <w:rPr>
                <w:rFonts w:hint="eastAsia" w:cs="Times New Roman"/>
                <w:sz w:val="21"/>
                <w:szCs w:val="21"/>
              </w:rPr>
              <w:t>电话</w:t>
            </w:r>
          </w:p>
        </w:tc>
        <w:tc>
          <w:tcPr>
            <w:tcW w:w="1199" w:type="pct"/>
            <w:tcBorders>
              <w:top w:val="single" w:color="000000" w:sz="4" w:space="0"/>
              <w:left w:val="nil"/>
              <w:bottom w:val="single" w:color="000000" w:sz="4" w:space="0"/>
              <w:right w:val="single" w:color="000000" w:sz="4" w:space="0"/>
            </w:tcBorders>
            <w:noWrap w:val="0"/>
            <w:vAlign w:val="center"/>
          </w:tcPr>
          <w:p w14:paraId="678FFA14">
            <w:pPr>
              <w:jc w:val="center"/>
              <w:rPr>
                <w:rFonts w:ascii="宋体" w:hAnsi="宋体"/>
                <w:szCs w:val="21"/>
              </w:rPr>
            </w:pPr>
          </w:p>
        </w:tc>
      </w:tr>
      <w:tr w14:paraId="3265EC24">
        <w:tblPrEx>
          <w:tblCellMar>
            <w:top w:w="0" w:type="dxa"/>
            <w:left w:w="0" w:type="dxa"/>
            <w:bottom w:w="0" w:type="dxa"/>
            <w:right w:w="0" w:type="dxa"/>
          </w:tblCellMar>
        </w:tblPrEx>
        <w:tc>
          <w:tcPr>
            <w:tcW w:w="0" w:type="auto"/>
            <w:vMerge w:val="continue"/>
            <w:tcBorders>
              <w:top w:val="nil"/>
              <w:left w:val="single" w:color="000000" w:sz="4" w:space="0"/>
              <w:bottom w:val="single" w:color="000000" w:sz="4" w:space="0"/>
              <w:right w:val="single" w:color="000000" w:sz="4" w:space="0"/>
            </w:tcBorders>
            <w:noWrap w:val="0"/>
            <w:vAlign w:val="center"/>
          </w:tcPr>
          <w:p w14:paraId="5BB05C57">
            <w:pPr>
              <w:widowControl/>
              <w:spacing w:line="240" w:lineRule="auto"/>
              <w:rPr>
                <w:rFonts w:ascii="宋体" w:hAnsi="宋体"/>
                <w:kern w:val="0"/>
                <w:szCs w:val="21"/>
              </w:rPr>
            </w:pPr>
          </w:p>
        </w:tc>
        <w:tc>
          <w:tcPr>
            <w:tcW w:w="438" w:type="pct"/>
            <w:tcBorders>
              <w:top w:val="single" w:color="000000" w:sz="4" w:space="0"/>
              <w:left w:val="nil"/>
              <w:bottom w:val="single" w:color="000000" w:sz="4" w:space="0"/>
              <w:right w:val="single" w:color="000000" w:sz="4" w:space="0"/>
            </w:tcBorders>
            <w:noWrap w:val="0"/>
            <w:vAlign w:val="center"/>
          </w:tcPr>
          <w:p w14:paraId="49B6C126">
            <w:pPr>
              <w:pStyle w:val="9"/>
              <w:kinsoku w:val="0"/>
              <w:overflowPunct w:val="0"/>
              <w:jc w:val="center"/>
              <w:rPr>
                <w:rFonts w:cs="Times New Roman"/>
                <w:sz w:val="21"/>
                <w:szCs w:val="21"/>
              </w:rPr>
            </w:pPr>
            <w:r>
              <w:rPr>
                <w:rFonts w:hint="eastAsia" w:cs="Times New Roman"/>
                <w:sz w:val="21"/>
                <w:szCs w:val="21"/>
              </w:rPr>
              <w:t>邮箱</w:t>
            </w:r>
          </w:p>
        </w:tc>
        <w:tc>
          <w:tcPr>
            <w:tcW w:w="1137" w:type="pct"/>
            <w:tcBorders>
              <w:top w:val="single" w:color="000000" w:sz="4" w:space="0"/>
              <w:left w:val="nil"/>
              <w:bottom w:val="single" w:color="000000" w:sz="4" w:space="0"/>
              <w:right w:val="single" w:color="000000" w:sz="4" w:space="0"/>
            </w:tcBorders>
            <w:noWrap w:val="0"/>
            <w:vAlign w:val="center"/>
          </w:tcPr>
          <w:p w14:paraId="38A23BF6">
            <w:pPr>
              <w:jc w:val="center"/>
              <w:rPr>
                <w:rFonts w:ascii="宋体" w:hAnsi="宋体"/>
                <w:szCs w:val="21"/>
              </w:rPr>
            </w:pPr>
          </w:p>
        </w:tc>
        <w:tc>
          <w:tcPr>
            <w:tcW w:w="565" w:type="pct"/>
            <w:tcBorders>
              <w:top w:val="single" w:color="000000" w:sz="4" w:space="0"/>
              <w:left w:val="nil"/>
              <w:bottom w:val="single" w:color="000000" w:sz="4" w:space="0"/>
              <w:right w:val="single" w:color="000000" w:sz="4" w:space="0"/>
            </w:tcBorders>
            <w:noWrap w:val="0"/>
            <w:vAlign w:val="center"/>
          </w:tcPr>
          <w:p w14:paraId="6ACBF365">
            <w:pPr>
              <w:pStyle w:val="9"/>
              <w:kinsoku w:val="0"/>
              <w:overflowPunct w:val="0"/>
              <w:jc w:val="center"/>
              <w:rPr>
                <w:rFonts w:cs="Times New Roman"/>
                <w:sz w:val="21"/>
                <w:szCs w:val="21"/>
              </w:rPr>
            </w:pPr>
            <w:r>
              <w:rPr>
                <w:rFonts w:hint="eastAsia" w:cs="Times New Roman"/>
                <w:sz w:val="21"/>
                <w:szCs w:val="21"/>
              </w:rPr>
              <w:t>传真</w:t>
            </w:r>
          </w:p>
        </w:tc>
        <w:tc>
          <w:tcPr>
            <w:tcW w:w="1199" w:type="pct"/>
            <w:tcBorders>
              <w:top w:val="single" w:color="000000" w:sz="4" w:space="0"/>
              <w:left w:val="nil"/>
              <w:bottom w:val="single" w:color="000000" w:sz="4" w:space="0"/>
              <w:right w:val="single" w:color="000000" w:sz="4" w:space="0"/>
            </w:tcBorders>
            <w:noWrap w:val="0"/>
            <w:vAlign w:val="center"/>
          </w:tcPr>
          <w:p w14:paraId="4233DD8D">
            <w:pPr>
              <w:jc w:val="center"/>
              <w:rPr>
                <w:rFonts w:ascii="宋体" w:hAnsi="宋体"/>
                <w:szCs w:val="21"/>
              </w:rPr>
            </w:pPr>
          </w:p>
        </w:tc>
      </w:tr>
      <w:tr w14:paraId="5BF4963E">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4EB3176">
            <w:pPr>
              <w:pStyle w:val="9"/>
              <w:kinsoku w:val="0"/>
              <w:overflowPunct w:val="0"/>
              <w:jc w:val="center"/>
              <w:rPr>
                <w:rFonts w:cs="Times New Roman"/>
                <w:sz w:val="21"/>
                <w:szCs w:val="21"/>
              </w:rPr>
            </w:pPr>
            <w:r>
              <w:rPr>
                <w:rFonts w:hint="eastAsia" w:cs="Times New Roman"/>
                <w:sz w:val="21"/>
                <w:szCs w:val="21"/>
              </w:rPr>
              <w:t>法定代表人</w:t>
            </w:r>
          </w:p>
          <w:p w14:paraId="359A4B19">
            <w:pPr>
              <w:pStyle w:val="9"/>
              <w:kinsoku w:val="0"/>
              <w:overflowPunct w:val="0"/>
              <w:jc w:val="center"/>
              <w:rPr>
                <w:rFonts w:cs="Times New Roman"/>
                <w:sz w:val="21"/>
                <w:szCs w:val="21"/>
              </w:rPr>
            </w:pPr>
            <w:r>
              <w:rPr>
                <w:rFonts w:hint="eastAsia" w:cs="Times New Roman"/>
                <w:sz w:val="21"/>
                <w:szCs w:val="21"/>
              </w:rPr>
              <w:t>（单位负责人）</w:t>
            </w:r>
          </w:p>
        </w:tc>
        <w:tc>
          <w:tcPr>
            <w:tcW w:w="438" w:type="pct"/>
            <w:tcBorders>
              <w:top w:val="single" w:color="000000" w:sz="4" w:space="0"/>
              <w:left w:val="nil"/>
              <w:bottom w:val="single" w:color="000000" w:sz="4" w:space="0"/>
              <w:right w:val="single" w:color="000000" w:sz="4" w:space="0"/>
            </w:tcBorders>
            <w:noWrap w:val="0"/>
            <w:vAlign w:val="center"/>
          </w:tcPr>
          <w:p w14:paraId="21E388FB">
            <w:pPr>
              <w:pStyle w:val="9"/>
              <w:kinsoku w:val="0"/>
              <w:overflowPunct w:val="0"/>
              <w:jc w:val="center"/>
              <w:rPr>
                <w:rFonts w:cs="Times New Roman"/>
                <w:sz w:val="21"/>
                <w:szCs w:val="21"/>
              </w:rPr>
            </w:pPr>
            <w:r>
              <w:rPr>
                <w:rFonts w:hint="eastAsia" w:cs="Times New Roman"/>
                <w:sz w:val="21"/>
                <w:szCs w:val="21"/>
              </w:rPr>
              <w:t>姓名</w:t>
            </w:r>
          </w:p>
        </w:tc>
        <w:tc>
          <w:tcPr>
            <w:tcW w:w="1137" w:type="pct"/>
            <w:tcBorders>
              <w:top w:val="single" w:color="000000" w:sz="4" w:space="0"/>
              <w:left w:val="nil"/>
              <w:bottom w:val="single" w:color="000000" w:sz="4" w:space="0"/>
              <w:right w:val="single" w:color="000000" w:sz="4" w:space="0"/>
            </w:tcBorders>
            <w:noWrap w:val="0"/>
            <w:vAlign w:val="center"/>
          </w:tcPr>
          <w:p w14:paraId="6023DD35">
            <w:pPr>
              <w:jc w:val="center"/>
              <w:rPr>
                <w:rFonts w:ascii="宋体" w:hAnsi="宋体"/>
                <w:szCs w:val="21"/>
              </w:rPr>
            </w:pPr>
          </w:p>
        </w:tc>
        <w:tc>
          <w:tcPr>
            <w:tcW w:w="565" w:type="pct"/>
            <w:tcBorders>
              <w:top w:val="single" w:color="000000" w:sz="4" w:space="0"/>
              <w:left w:val="nil"/>
              <w:bottom w:val="single" w:color="000000" w:sz="4" w:space="0"/>
              <w:right w:val="single" w:color="000000" w:sz="4" w:space="0"/>
            </w:tcBorders>
            <w:noWrap w:val="0"/>
            <w:vAlign w:val="center"/>
          </w:tcPr>
          <w:p w14:paraId="1503C424">
            <w:pPr>
              <w:pStyle w:val="9"/>
              <w:kinsoku w:val="0"/>
              <w:overflowPunct w:val="0"/>
              <w:jc w:val="center"/>
              <w:rPr>
                <w:rFonts w:cs="Times New Roman"/>
                <w:sz w:val="21"/>
                <w:szCs w:val="21"/>
              </w:rPr>
            </w:pPr>
            <w:r>
              <w:rPr>
                <w:rFonts w:hint="eastAsia" w:cs="Times New Roman"/>
                <w:sz w:val="21"/>
                <w:szCs w:val="21"/>
              </w:rPr>
              <w:t>电话</w:t>
            </w:r>
          </w:p>
        </w:tc>
        <w:tc>
          <w:tcPr>
            <w:tcW w:w="1199" w:type="pct"/>
            <w:tcBorders>
              <w:top w:val="single" w:color="000000" w:sz="4" w:space="0"/>
              <w:left w:val="nil"/>
              <w:bottom w:val="single" w:color="000000" w:sz="4" w:space="0"/>
              <w:right w:val="single" w:color="000000" w:sz="4" w:space="0"/>
            </w:tcBorders>
            <w:noWrap w:val="0"/>
            <w:vAlign w:val="center"/>
          </w:tcPr>
          <w:p w14:paraId="405B717F">
            <w:pPr>
              <w:jc w:val="center"/>
              <w:rPr>
                <w:rFonts w:ascii="宋体" w:hAnsi="宋体"/>
                <w:szCs w:val="21"/>
              </w:rPr>
            </w:pPr>
          </w:p>
        </w:tc>
      </w:tr>
      <w:tr w14:paraId="48216AB6">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16CC9BF">
            <w:pPr>
              <w:pStyle w:val="9"/>
              <w:kinsoku w:val="0"/>
              <w:overflowPunct w:val="0"/>
              <w:jc w:val="center"/>
              <w:rPr>
                <w:rFonts w:cs="Times New Roman"/>
                <w:sz w:val="21"/>
                <w:szCs w:val="21"/>
              </w:rPr>
            </w:pPr>
            <w:r>
              <w:rPr>
                <w:rFonts w:hint="eastAsia" w:cs="Times New Roman"/>
                <w:sz w:val="21"/>
                <w:szCs w:val="21"/>
              </w:rPr>
              <w:t>与本项目采购需求相关的资质证书（提醒：本项目采购品目为其他医疗卫生服务）</w:t>
            </w:r>
          </w:p>
        </w:tc>
        <w:tc>
          <w:tcPr>
            <w:tcW w:w="3341" w:type="pct"/>
            <w:gridSpan w:val="4"/>
            <w:tcBorders>
              <w:top w:val="single" w:color="000000" w:sz="4" w:space="0"/>
              <w:left w:val="nil"/>
              <w:bottom w:val="single" w:color="000000" w:sz="4" w:space="0"/>
              <w:right w:val="single" w:color="000000" w:sz="4" w:space="0"/>
            </w:tcBorders>
            <w:noWrap w:val="0"/>
            <w:vAlign w:val="center"/>
          </w:tcPr>
          <w:p w14:paraId="764BA6AE">
            <w:pPr>
              <w:pStyle w:val="9"/>
              <w:kinsoku w:val="0"/>
              <w:overflowPunct w:val="0"/>
              <w:jc w:val="center"/>
              <w:rPr>
                <w:rFonts w:cs="Times New Roman"/>
                <w:sz w:val="21"/>
                <w:szCs w:val="21"/>
              </w:rPr>
            </w:pPr>
          </w:p>
        </w:tc>
      </w:tr>
      <w:tr w14:paraId="44CFDE4C">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C3B2525">
            <w:pPr>
              <w:pStyle w:val="9"/>
              <w:kinsoku w:val="0"/>
              <w:overflowPunct w:val="0"/>
              <w:jc w:val="center"/>
              <w:rPr>
                <w:rFonts w:cs="Times New Roman"/>
                <w:sz w:val="21"/>
                <w:szCs w:val="21"/>
              </w:rPr>
            </w:pPr>
            <w:r>
              <w:rPr>
                <w:rFonts w:hint="eastAsia" w:cs="Times New Roman"/>
                <w:sz w:val="21"/>
                <w:szCs w:val="21"/>
              </w:rPr>
              <w:t>企业规模情况（根据本项目采购标的对应的中小企业划分标准所属行业，</w:t>
            </w:r>
            <w:r>
              <w:rPr>
                <w:rFonts w:hint="eastAsia"/>
                <w:szCs w:val="21"/>
              </w:rPr>
              <w:t>如是中小微企业，请供应商登陆https://xwqy.gsxt.gov.cn/进行查询，附上截图</w:t>
            </w:r>
            <w:r>
              <w:rPr>
                <w:rFonts w:hint="eastAsia" w:cs="Times New Roman"/>
                <w:sz w:val="21"/>
                <w:szCs w:val="21"/>
              </w:rPr>
              <w:t>）</w:t>
            </w:r>
          </w:p>
        </w:tc>
        <w:tc>
          <w:tcPr>
            <w:tcW w:w="3341" w:type="pct"/>
            <w:gridSpan w:val="4"/>
            <w:tcBorders>
              <w:top w:val="single" w:color="000000" w:sz="4" w:space="0"/>
              <w:left w:val="nil"/>
              <w:bottom w:val="single" w:color="000000" w:sz="4" w:space="0"/>
              <w:right w:val="single" w:color="000000" w:sz="4" w:space="0"/>
            </w:tcBorders>
            <w:noWrap w:val="0"/>
            <w:vAlign w:val="center"/>
          </w:tcPr>
          <w:p w14:paraId="5FAD246B">
            <w:pPr>
              <w:pStyle w:val="9"/>
              <w:kinsoku w:val="0"/>
              <w:overflowPunct w:val="0"/>
              <w:rPr>
                <w:rFonts w:cs="Times New Roman"/>
                <w:sz w:val="21"/>
                <w:szCs w:val="21"/>
              </w:rPr>
            </w:pPr>
            <w:r>
              <w:rPr>
                <w:rFonts w:hint="eastAsia" w:cs="Times New Roman"/>
                <w:sz w:val="21"/>
                <w:szCs w:val="21"/>
              </w:rPr>
              <w:t xml:space="preserve">大型企业（  ）  中型企业（  ）  小型企业（  ）  </w:t>
            </w:r>
            <w:r>
              <w:rPr>
                <w:rFonts w:hint="eastAsia" w:cs="Times New Roman"/>
                <w:sz w:val="21"/>
                <w:szCs w:val="21"/>
                <w:lang w:val="en-US" w:eastAsia="zh-CN"/>
              </w:rPr>
              <w:t>微小型</w:t>
            </w:r>
            <w:r>
              <w:rPr>
                <w:rFonts w:hint="eastAsia" w:cs="Times New Roman"/>
                <w:sz w:val="21"/>
                <w:szCs w:val="21"/>
              </w:rPr>
              <w:t xml:space="preserve">企业（   ）                                       </w:t>
            </w:r>
          </w:p>
        </w:tc>
      </w:tr>
      <w:tr w14:paraId="6D960DBB">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B7BDF21">
            <w:pPr>
              <w:pStyle w:val="9"/>
              <w:kinsoku w:val="0"/>
              <w:overflowPunct w:val="0"/>
              <w:jc w:val="center"/>
              <w:rPr>
                <w:rFonts w:cs="Times New Roman"/>
                <w:sz w:val="21"/>
                <w:szCs w:val="21"/>
              </w:rPr>
            </w:pPr>
            <w:r>
              <w:rPr>
                <w:rFonts w:hint="eastAsia" w:cs="Times New Roman"/>
                <w:sz w:val="21"/>
                <w:szCs w:val="21"/>
              </w:rPr>
              <w:t>备注</w:t>
            </w:r>
          </w:p>
        </w:tc>
        <w:tc>
          <w:tcPr>
            <w:tcW w:w="3341" w:type="pct"/>
            <w:gridSpan w:val="4"/>
            <w:tcBorders>
              <w:top w:val="single" w:color="000000" w:sz="4" w:space="0"/>
              <w:left w:val="nil"/>
              <w:bottom w:val="single" w:color="000000" w:sz="4" w:space="0"/>
              <w:right w:val="single" w:color="000000" w:sz="4" w:space="0"/>
            </w:tcBorders>
            <w:noWrap w:val="0"/>
            <w:vAlign w:val="center"/>
          </w:tcPr>
          <w:p w14:paraId="2CDDEDC8">
            <w:pPr>
              <w:jc w:val="center"/>
              <w:rPr>
                <w:rFonts w:ascii="宋体" w:hAnsi="宋体"/>
                <w:i/>
                <w:szCs w:val="21"/>
              </w:rPr>
            </w:pPr>
          </w:p>
        </w:tc>
      </w:tr>
    </w:tbl>
    <w:p w14:paraId="6318CB06">
      <w:pPr>
        <w:pStyle w:val="8"/>
        <w:rPr>
          <w:rFonts w:ascii="黑体" w:hAnsi="黑体" w:eastAsia="黑体" w:cs="黑体"/>
          <w:b w:val="0"/>
          <w:bCs w:val="0"/>
          <w:spacing w:val="-15"/>
          <w:sz w:val="22"/>
        </w:rPr>
      </w:pPr>
      <w:r>
        <w:rPr>
          <w:rFonts w:hint="eastAsia" w:ascii="黑体" w:hAnsi="黑体" w:eastAsia="黑体" w:cs="黑体"/>
          <w:b w:val="0"/>
          <w:bCs w:val="0"/>
          <w:spacing w:val="-15"/>
          <w:sz w:val="22"/>
        </w:rPr>
        <w:t>2.供应商基本情况调查：（满足的请打勾）</w:t>
      </w:r>
    </w:p>
    <w:p w14:paraId="07FED217">
      <w:pPr>
        <w:ind w:firstLine="420" w:firstLineChars="200"/>
        <w:rPr>
          <w:rFonts w:ascii="宋体" w:hAnsi="宋体" w:cs="宋体"/>
          <w:szCs w:val="21"/>
        </w:rPr>
      </w:pPr>
      <w:r>
        <w:rPr>
          <w:rFonts w:hint="eastAsia" w:ascii="宋体" w:hAnsi="宋体" w:cs="宋体"/>
          <w:szCs w:val="21"/>
        </w:rPr>
        <w:t>2.1满足具备《政府采购法》第二十二条规定的条件。《政府采购法》第二十二条规定(一)具有独立承担民事责任的能力；(二)具有良好的商业信誉和健全的财务会计制度；(三)具有履行合同所必需的设备和专业技术能力； (四)有依法缴纳税收和社会保障资金的良好记录；(五)参加政府采购活动前三年内，在经营活动中没有重大违法记录；(六)法律、行政法规规定的其他条件。采购人可以根据采购项目的特殊要求，规定供应商的特定条件，但不得以不合理的条件对供应商实行差别待遇或者歧视待遇。（  ）</w:t>
      </w:r>
    </w:p>
    <w:p w14:paraId="4FE6D424">
      <w:pPr>
        <w:ind w:firstLine="420" w:firstLineChars="200"/>
        <w:rPr>
          <w:rFonts w:ascii="宋体" w:hAnsi="宋体" w:cs="宋体"/>
          <w:szCs w:val="21"/>
        </w:rPr>
      </w:pPr>
      <w:r>
        <w:rPr>
          <w:rFonts w:hint="eastAsia" w:ascii="宋体" w:hAnsi="宋体" w:cs="宋体"/>
          <w:szCs w:val="21"/>
        </w:rPr>
        <w:t>2.2具有独立承担民事责任能力的在中华人民共和国境内注册的法人或其他组织或自然人。（  ）</w:t>
      </w:r>
    </w:p>
    <w:p w14:paraId="1158EDEE">
      <w:pPr>
        <w:ind w:firstLine="420" w:firstLineChars="200"/>
        <w:rPr>
          <w:rFonts w:ascii="宋体" w:hAnsi="宋体" w:cs="宋体"/>
          <w:szCs w:val="21"/>
        </w:rPr>
      </w:pPr>
      <w:r>
        <w:rPr>
          <w:rFonts w:hint="eastAsia" w:ascii="宋体" w:hAnsi="宋体" w:cs="宋体"/>
          <w:szCs w:val="21"/>
        </w:rPr>
        <w:t>2.3具有良好的商业信誉和健全的财务会计制度。（  ）</w:t>
      </w:r>
    </w:p>
    <w:p w14:paraId="0C7D2CF5">
      <w:pPr>
        <w:ind w:firstLine="420" w:firstLineChars="200"/>
        <w:rPr>
          <w:rFonts w:ascii="宋体" w:hAnsi="宋体" w:cs="宋体"/>
          <w:szCs w:val="21"/>
        </w:rPr>
      </w:pPr>
      <w:r>
        <w:rPr>
          <w:rFonts w:hint="eastAsia" w:ascii="宋体" w:hAnsi="宋体" w:cs="宋体"/>
          <w:szCs w:val="21"/>
        </w:rPr>
        <w:t>2.4.具有履行合同所必需的设备和专业技术能力。（  ）</w:t>
      </w:r>
    </w:p>
    <w:p w14:paraId="1196EC7F">
      <w:pPr>
        <w:ind w:firstLine="420" w:firstLineChars="200"/>
        <w:rPr>
          <w:rFonts w:ascii="宋体" w:hAnsi="宋体" w:cs="宋体"/>
          <w:szCs w:val="21"/>
        </w:rPr>
      </w:pPr>
      <w:r>
        <w:rPr>
          <w:rFonts w:hint="eastAsia" w:ascii="宋体" w:hAnsi="宋体" w:cs="宋体"/>
          <w:szCs w:val="21"/>
        </w:rPr>
        <w:t>2.5具有依法缴纳税收和社会保障资金的良好记录。（  ）</w:t>
      </w:r>
    </w:p>
    <w:p w14:paraId="727D3CF6">
      <w:pPr>
        <w:ind w:firstLine="420" w:firstLineChars="20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w:t>
      </w:r>
      <w:r>
        <w:rPr>
          <w:rFonts w:ascii="宋体" w:hAnsi="宋体" w:cs="宋体"/>
          <w:szCs w:val="21"/>
        </w:rPr>
        <w:t>6</w:t>
      </w:r>
      <w:r>
        <w:rPr>
          <w:rFonts w:hint="eastAsia" w:ascii="宋体" w:hAnsi="宋体" w:cs="宋体"/>
          <w:szCs w:val="21"/>
        </w:rPr>
        <w:t>.投标人是否有参加政府采购活动前3年内在经营活动中没有重大违法记录的书面声明；</w:t>
      </w:r>
    </w:p>
    <w:p w14:paraId="3F6E7F54">
      <w:pPr>
        <w:ind w:firstLine="420" w:firstLineChars="20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w:t>
      </w:r>
      <w:r>
        <w:rPr>
          <w:rFonts w:ascii="宋体" w:hAnsi="宋体" w:cs="宋体"/>
          <w:szCs w:val="21"/>
        </w:rPr>
        <w:t>7</w:t>
      </w:r>
      <w:r>
        <w:rPr>
          <w:rFonts w:hint="eastAsia" w:ascii="宋体" w:hAnsi="宋体" w:cs="宋体"/>
          <w:szCs w:val="21"/>
        </w:rPr>
        <w:t>.投标人是否未被列入“信用中国”网站(www.creditchina.gov.cn)“记录失信被执行人或重大税收违法案件当事人名单或政府采购严重违法失信行为”记录名单。同时，不处于中国政府采购网(www.ccgp.gov.cn)“政府采购严重违法失信行为信息记录”中的禁止参加政府采购活动期间。（说明：①、由负责资格性审查人员于投标截止日在“信用中国”网站（www.creditchina.gov.cn）及中国政府采购网(www.ccgp.gov.cn)查询结果为准。②、在上述网站查询结果显示“很抱歉，没有找到您搜索的企业”或“共0条记录”，视为没有上述不良信用信息记录 。③、采购代理机构同时对信用信息查询记录和证据截图或下载存档。）；</w:t>
      </w:r>
    </w:p>
    <w:p w14:paraId="71EBC09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.投标人是否为独立的第三方实验室；（请附资料说明，含检验项目手册）</w:t>
      </w:r>
    </w:p>
    <w:p w14:paraId="0D54E416">
      <w:pPr>
        <w:ind w:firstLine="420" w:firstLineChars="20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w:t>
      </w:r>
      <w:r>
        <w:rPr>
          <w:rFonts w:hint="eastAsia" w:ascii="宋体" w:hAnsi="宋体" w:cs="宋体"/>
          <w:szCs w:val="21"/>
          <w:lang w:val="en-US" w:eastAsia="zh-CN"/>
        </w:rPr>
        <w:t>9</w:t>
      </w:r>
      <w:r>
        <w:rPr>
          <w:rFonts w:hint="eastAsia" w:ascii="宋体" w:hAnsi="宋体" w:cs="宋体"/>
          <w:szCs w:val="21"/>
        </w:rPr>
        <w:t>.投标人是否与单位负责人为同一人或者存在控股、管理关系的不同单位。(投标人出具声明函)</w:t>
      </w:r>
    </w:p>
    <w:p w14:paraId="6D74E713">
      <w:pPr>
        <w:pStyle w:val="2"/>
        <w:rPr>
          <w:rFonts w:ascii="黑体" w:hAnsi="黑体" w:cs="黑体"/>
          <w:spacing w:val="-15"/>
          <w:sz w:val="22"/>
        </w:rPr>
      </w:pPr>
      <w:r>
        <w:rPr>
          <w:rFonts w:hint="eastAsia" w:ascii="黑体" w:hAnsi="黑体" w:cs="黑体"/>
          <w:spacing w:val="-15"/>
          <w:sz w:val="22"/>
        </w:rPr>
        <w:t>三、相关产业发展及市场供给情况（请供应商附上相关资料说明）</w:t>
      </w:r>
    </w:p>
    <w:p w14:paraId="5000F98C">
      <w:pPr>
        <w:pStyle w:val="2"/>
        <w:ind w:firstLine="210" w:firstLineChars="100"/>
        <w:rPr>
          <w:rFonts w:hint="eastAsia" w:ascii="宋体" w:eastAsia="宋体" w:cs="宋体"/>
          <w:b w:val="0"/>
          <w:bCs w:val="0"/>
          <w:sz w:val="21"/>
          <w:szCs w:val="21"/>
        </w:rPr>
      </w:pPr>
      <w:r>
        <w:rPr>
          <w:rFonts w:hint="eastAsia" w:ascii="宋体" w:eastAsia="宋体" w:cs="宋体"/>
          <w:b w:val="0"/>
          <w:bCs w:val="0"/>
          <w:sz w:val="21"/>
          <w:szCs w:val="21"/>
        </w:rPr>
        <w:t xml:space="preserve">1. </w:t>
      </w:r>
      <w:r>
        <w:rPr>
          <w:rFonts w:hint="eastAsia" w:ascii="宋体" w:eastAsia="宋体" w:cs="宋体"/>
          <w:b w:val="0"/>
          <w:bCs w:val="0"/>
          <w:sz w:val="21"/>
          <w:szCs w:val="21"/>
          <w:lang w:val="en-US" w:eastAsia="zh-CN"/>
        </w:rPr>
        <w:t>儿童肿瘤及相关疾病分子检测</w:t>
      </w:r>
      <w:r>
        <w:rPr>
          <w:rFonts w:hint="eastAsia" w:ascii="宋体" w:eastAsia="宋体" w:cs="宋体"/>
          <w:b w:val="0"/>
          <w:bCs w:val="0"/>
          <w:sz w:val="21"/>
          <w:szCs w:val="21"/>
        </w:rPr>
        <w:t>的国内技术水平、行业发展情况及市场供给情况。（请附资料说明）</w:t>
      </w:r>
    </w:p>
    <w:p w14:paraId="147E4486">
      <w:pPr>
        <w:pStyle w:val="2"/>
        <w:ind w:firstLine="210" w:firstLineChars="100"/>
        <w:rPr>
          <w:rFonts w:ascii="宋体" w:eastAsia="宋体" w:cs="宋体"/>
          <w:b w:val="0"/>
          <w:bCs w:val="0"/>
          <w:sz w:val="21"/>
          <w:szCs w:val="21"/>
        </w:rPr>
      </w:pPr>
      <w:r>
        <w:rPr>
          <w:rFonts w:hint="eastAsia" w:ascii="宋体" w:eastAsia="宋体" w:cs="宋体"/>
          <w:b w:val="0"/>
          <w:bCs w:val="0"/>
          <w:sz w:val="21"/>
          <w:szCs w:val="21"/>
        </w:rPr>
        <w:t xml:space="preserve">2. </w:t>
      </w:r>
      <w:r>
        <w:rPr>
          <w:rFonts w:hint="eastAsia" w:ascii="宋体" w:eastAsia="宋体" w:cs="宋体"/>
          <w:b w:val="0"/>
          <w:bCs w:val="0"/>
          <w:sz w:val="21"/>
          <w:szCs w:val="21"/>
          <w:lang w:val="en-US" w:eastAsia="zh-CN"/>
        </w:rPr>
        <w:t>投标人单位</w:t>
      </w:r>
      <w:r>
        <w:rPr>
          <w:rFonts w:hint="eastAsia" w:ascii="宋体" w:eastAsia="宋体" w:cs="宋体"/>
          <w:b w:val="0"/>
          <w:bCs w:val="0"/>
          <w:sz w:val="21"/>
          <w:szCs w:val="21"/>
        </w:rPr>
        <w:t>开展</w:t>
      </w:r>
      <w:r>
        <w:rPr>
          <w:rFonts w:hint="eastAsia" w:ascii="宋体" w:eastAsia="宋体" w:cs="宋体"/>
          <w:b w:val="0"/>
          <w:bCs w:val="0"/>
          <w:sz w:val="21"/>
          <w:szCs w:val="21"/>
          <w:lang w:val="en-US" w:eastAsia="zh-CN"/>
        </w:rPr>
        <w:t>儿童肿瘤及相关疾病分子</w:t>
      </w:r>
      <w:r>
        <w:rPr>
          <w:rFonts w:hint="eastAsia" w:ascii="宋体" w:eastAsia="宋体" w:cs="宋体"/>
          <w:b w:val="0"/>
          <w:bCs w:val="0"/>
          <w:sz w:val="21"/>
          <w:szCs w:val="21"/>
        </w:rPr>
        <w:t>检测技术的自身发展情况及优势。（请附资料说明）</w:t>
      </w:r>
    </w:p>
    <w:p w14:paraId="6ADC038B">
      <w:pPr>
        <w:ind w:firstLine="210" w:firstLineChars="100"/>
        <w:rPr>
          <w:rFonts w:hint="eastAsia" w:ascii="宋体" w:hAnsi="宋体" w:cs="宋体"/>
          <w:szCs w:val="21"/>
        </w:rPr>
      </w:pPr>
      <w:r>
        <w:rPr>
          <w:rFonts w:hint="eastAsia" w:ascii="宋体" w:hAnsi="宋体" w:cs="宋体"/>
          <w:szCs w:val="21"/>
        </w:rPr>
        <w:t>3.</w:t>
      </w:r>
      <w:r>
        <w:rPr>
          <w:rFonts w:hint="eastAsia" w:ascii="宋体" w:eastAsia="宋体" w:cs="宋体"/>
          <w:b w:val="0"/>
          <w:bCs w:val="0"/>
          <w:sz w:val="21"/>
          <w:szCs w:val="21"/>
          <w:lang w:val="en-US" w:eastAsia="zh-CN"/>
        </w:rPr>
        <w:t>儿童肿瘤及相关疾病分子</w:t>
      </w:r>
      <w:r>
        <w:rPr>
          <w:rFonts w:hint="eastAsia" w:ascii="宋体" w:cs="宋体"/>
          <w:b w:val="0"/>
          <w:bCs w:val="0"/>
          <w:szCs w:val="21"/>
        </w:rPr>
        <w:t>检测</w:t>
      </w:r>
      <w:r>
        <w:rPr>
          <w:rFonts w:hint="eastAsia" w:ascii="宋体" w:hAnsi="宋体" w:cs="宋体"/>
          <w:szCs w:val="21"/>
        </w:rPr>
        <w:t>涉及的相关标准和规范（请详细列出）</w:t>
      </w:r>
    </w:p>
    <w:p w14:paraId="1E7B714B">
      <w:pPr>
        <w:ind w:firstLine="210" w:firstLineChars="100"/>
        <w:rPr>
          <w:rFonts w:hint="eastAsia" w:ascii="宋体" w:hAnsi="宋体" w:cs="宋体"/>
          <w:szCs w:val="21"/>
        </w:rPr>
      </w:pPr>
      <w:r>
        <w:rPr>
          <w:rFonts w:hint="eastAsia" w:ascii="宋体" w:hAnsi="宋体" w:cs="宋体"/>
          <w:szCs w:val="21"/>
        </w:rPr>
        <w:t>4.请说明开展</w:t>
      </w:r>
      <w:r>
        <w:rPr>
          <w:rFonts w:hint="eastAsia" w:ascii="宋体" w:eastAsia="宋体" w:cs="宋体"/>
          <w:b w:val="0"/>
          <w:bCs w:val="0"/>
          <w:sz w:val="21"/>
          <w:szCs w:val="21"/>
          <w:lang w:val="en-US" w:eastAsia="zh-CN"/>
        </w:rPr>
        <w:t>儿童肿瘤及相关疾病分子</w:t>
      </w:r>
      <w:r>
        <w:rPr>
          <w:rFonts w:hint="eastAsia" w:ascii="宋体" w:cs="宋体"/>
          <w:b w:val="0"/>
          <w:bCs w:val="0"/>
          <w:szCs w:val="21"/>
        </w:rPr>
        <w:t>检测技术的</w:t>
      </w:r>
      <w:r>
        <w:rPr>
          <w:rFonts w:hint="eastAsia" w:ascii="宋体" w:hAnsi="宋体" w:cs="宋体"/>
          <w:szCs w:val="21"/>
        </w:rPr>
        <w:t>资质要求。</w:t>
      </w:r>
    </w:p>
    <w:p w14:paraId="5C9782D4">
      <w:pPr>
        <w:rPr>
          <w:rFonts w:hint="eastAsia" w:ascii="黑体" w:hAnsi="黑体" w:eastAsia="黑体" w:cs="黑体"/>
          <w:b/>
          <w:bCs/>
          <w:spacing w:val="-15"/>
          <w:sz w:val="22"/>
        </w:rPr>
      </w:pPr>
      <w:r>
        <w:rPr>
          <w:rFonts w:hint="eastAsia" w:ascii="黑体" w:hAnsi="黑体" w:eastAsia="黑体" w:cs="黑体"/>
          <w:b/>
          <w:bCs/>
          <w:spacing w:val="-15"/>
          <w:sz w:val="22"/>
        </w:rPr>
        <w:t>四．与项目相关的调查</w:t>
      </w:r>
    </w:p>
    <w:p w14:paraId="3849658F">
      <w:pPr>
        <w:rPr>
          <w:rFonts w:hint="eastAsia" w:ascii="宋体" w:hAnsi="宋体" w:cs="宋体"/>
          <w:szCs w:val="21"/>
        </w:rPr>
      </w:pPr>
      <w:r>
        <w:rPr>
          <w:rFonts w:hint="eastAsia" w:ascii="宋体" w:hAnsi="宋体" w:cs="宋体"/>
          <w:szCs w:val="21"/>
        </w:rPr>
        <w:t>（一）质量技术指标情况调查（请提供相关证明材料）</w:t>
      </w:r>
    </w:p>
    <w:p w14:paraId="3C7845A6">
      <w:pPr>
        <w:ind w:firstLine="420" w:firstLineChars="200"/>
        <w:rPr>
          <w:rFonts w:hint="eastAsia" w:ascii="宋体" w:hAnsi="宋体" w:cs="宋体"/>
          <w:color w:val="auto"/>
          <w:szCs w:val="21"/>
        </w:rPr>
      </w:pPr>
      <w:r>
        <w:rPr>
          <w:rFonts w:hint="eastAsia" w:ascii="宋体" w:hAnsi="宋体" w:cs="宋体"/>
          <w:color w:val="auto"/>
          <w:szCs w:val="21"/>
          <w:lang w:val="en-US" w:eastAsia="zh-CN"/>
        </w:rPr>
        <w:t>1.</w:t>
      </w:r>
      <w:r>
        <w:rPr>
          <w:rFonts w:hint="eastAsia" w:ascii="宋体" w:hAnsi="宋体" w:cs="宋体"/>
          <w:color w:val="auto"/>
          <w:szCs w:val="21"/>
        </w:rPr>
        <w:t xml:space="preserve"> </w:t>
      </w:r>
      <w:r>
        <w:rPr>
          <w:rFonts w:hint="eastAsia" w:ascii="宋体" w:hAnsi="宋体" w:cs="宋体"/>
          <w:color w:val="auto"/>
          <w:szCs w:val="21"/>
          <w:highlight w:val="none"/>
        </w:rPr>
        <w:t>投标人实验室是否通过中国或国际质量体系认证或认可，如ISO15189。需提供上述要求相应的有效证书复印件，并加盖公章</w:t>
      </w:r>
      <w:r>
        <w:rPr>
          <w:rFonts w:hint="eastAsia" w:ascii="宋体" w:hAnsi="宋体" w:cs="宋体"/>
          <w:color w:val="auto"/>
          <w:szCs w:val="21"/>
        </w:rPr>
        <w:t>。</w:t>
      </w:r>
    </w:p>
    <w:p w14:paraId="2E455958">
      <w:pPr>
        <w:ind w:firstLine="420" w:firstLineChars="20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投标实验室是否拥有权威机构的技术支撑，能依托权威技术支撑机构，以及医院的资源，协助医院开展进修培训、协助医院开展继续教育、学术交流活动。（请附资料说明）</w:t>
      </w:r>
    </w:p>
    <w:p w14:paraId="53BDBEEF">
      <w:pPr>
        <w:ind w:firstLine="420" w:firstLineChars="200"/>
        <w:rPr>
          <w:rFonts w:hint="eastAsia" w:ascii="宋体" w:hAnsi="宋体" w:cs="宋体"/>
          <w:color w:val="auto"/>
          <w:szCs w:val="21"/>
          <w:highlight w:val="none"/>
        </w:rPr>
      </w:pPr>
      <w:r>
        <w:rPr>
          <w:rFonts w:hint="eastAsia" w:ascii="宋体" w:hAnsi="宋体" w:cs="宋体"/>
          <w:color w:val="auto"/>
          <w:szCs w:val="21"/>
          <w:lang w:val="en-US" w:eastAsia="zh-CN"/>
        </w:rPr>
        <w:t>3.</w:t>
      </w:r>
      <w:r>
        <w:rPr>
          <w:rFonts w:hint="eastAsia" w:ascii="宋体" w:hAnsi="宋体" w:cs="宋体"/>
          <w:color w:val="auto"/>
          <w:szCs w:val="21"/>
        </w:rPr>
        <w:t>投标人是否获得临检基因扩增检验实验室验收合格证书、</w:t>
      </w:r>
      <w:r>
        <w:rPr>
          <w:rFonts w:hint="eastAsia" w:ascii="宋体" w:hAnsi="宋体" w:cs="宋体"/>
          <w:color w:val="auto"/>
          <w:szCs w:val="21"/>
          <w:lang w:val="en-US" w:eastAsia="zh-CN"/>
        </w:rPr>
        <w:t>肿瘤二代测序检测、白血病融合基因检测、白血病流式细胞学检测、细胞遗传学相关的</w:t>
      </w:r>
      <w:r>
        <w:rPr>
          <w:rFonts w:hint="eastAsia" w:ascii="宋体" w:hAnsi="宋体" w:cs="宋体"/>
          <w:color w:val="auto"/>
          <w:szCs w:val="21"/>
          <w:highlight w:val="none"/>
        </w:rPr>
        <w:t>室间质评证书。</w:t>
      </w:r>
    </w:p>
    <w:p w14:paraId="5978E3E1">
      <w:pPr>
        <w:ind w:firstLine="420" w:firstLineChars="200"/>
        <w:rPr>
          <w:rFonts w:hint="eastAsia" w:ascii="宋体" w:hAnsi="宋体" w:cs="宋体"/>
          <w:color w:val="auto"/>
          <w:szCs w:val="21"/>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投标人实验室是否具有完善的质量管理体系，包括</w:t>
      </w:r>
      <w:r>
        <w:rPr>
          <w:rFonts w:hint="eastAsia" w:ascii="宋体" w:hAnsi="宋体" w:cs="宋体"/>
          <w:color w:val="auto"/>
          <w:szCs w:val="21"/>
        </w:rPr>
        <w:t>但不限于：</w:t>
      </w:r>
    </w:p>
    <w:p w14:paraId="679774AC">
      <w:pPr>
        <w:ind w:firstLine="420" w:firstLineChars="200"/>
        <w:rPr>
          <w:rFonts w:hint="eastAsia" w:ascii="宋体" w:hAnsi="宋体" w:cs="宋体"/>
          <w:color w:val="auto"/>
          <w:szCs w:val="21"/>
        </w:rPr>
      </w:pPr>
      <w:r>
        <w:rPr>
          <w:rFonts w:hint="eastAsia" w:ascii="宋体" w:hAnsi="宋体" w:cs="宋体"/>
          <w:color w:val="auto"/>
          <w:szCs w:val="21"/>
        </w:rPr>
        <w:t>(1)是否随时接受并妥善安排用户查阅项目检测、质量控制等情况。定期提供委托项目的样本周转时间（TAT）分析，对于用户提出的要求及时反馈并更正；</w:t>
      </w:r>
    </w:p>
    <w:p w14:paraId="2AE4290E">
      <w:pPr>
        <w:ind w:firstLine="420" w:firstLineChars="200"/>
        <w:rPr>
          <w:rFonts w:hint="eastAsia" w:ascii="宋体" w:hAnsi="宋体" w:cs="宋体"/>
          <w:color w:val="auto"/>
          <w:szCs w:val="21"/>
        </w:rPr>
      </w:pPr>
      <w:r>
        <w:rPr>
          <w:rFonts w:hint="eastAsia" w:ascii="宋体" w:hAnsi="宋体" w:cs="宋体"/>
          <w:color w:val="auto"/>
          <w:szCs w:val="21"/>
        </w:rPr>
        <w:t>(2) 是否提供项目的受控SOP文件、室间质评的合格证书等资料供我院检验科或其他相关实验室审核；</w:t>
      </w:r>
    </w:p>
    <w:p w14:paraId="266382C0">
      <w:pPr>
        <w:ind w:firstLine="420" w:firstLineChars="200"/>
        <w:rPr>
          <w:rFonts w:hint="eastAsia" w:ascii="宋体" w:hAnsi="宋体" w:cs="宋体"/>
          <w:color w:val="auto"/>
          <w:szCs w:val="21"/>
        </w:rPr>
      </w:pPr>
      <w:r>
        <w:rPr>
          <w:rFonts w:hint="eastAsia" w:ascii="宋体" w:hAnsi="宋体" w:cs="宋体"/>
          <w:color w:val="auto"/>
          <w:szCs w:val="21"/>
        </w:rPr>
        <w:t>(3) 是否按用户要求，随时提供质量和技术资料，如更换试剂批号、仪器维修后、检验系统更换后的质控记录和性能验证报告。</w:t>
      </w:r>
    </w:p>
    <w:p w14:paraId="07D612A0">
      <w:pPr>
        <w:rPr>
          <w:rFonts w:hint="eastAsia" w:ascii="宋体" w:hAnsi="宋体" w:cs="宋体"/>
          <w:color w:val="auto"/>
          <w:szCs w:val="21"/>
        </w:rPr>
      </w:pPr>
      <w:r>
        <w:rPr>
          <w:rFonts w:hint="eastAsia" w:ascii="宋体" w:hAnsi="宋体" w:cs="宋体"/>
          <w:color w:val="auto"/>
          <w:szCs w:val="21"/>
        </w:rPr>
        <w:t>（二）服务团队方案</w:t>
      </w:r>
    </w:p>
    <w:p w14:paraId="622BB3F0">
      <w:pPr>
        <w:ind w:firstLine="420" w:firstLineChars="200"/>
        <w:rPr>
          <w:rFonts w:hint="eastAsia" w:ascii="宋体" w:hAnsi="宋体" w:cs="宋体"/>
          <w:color w:val="auto"/>
          <w:szCs w:val="21"/>
        </w:rPr>
      </w:pPr>
      <w:r>
        <w:rPr>
          <w:rFonts w:hint="eastAsia" w:ascii="宋体" w:hAnsi="宋体" w:cs="宋体"/>
          <w:color w:val="auto"/>
          <w:szCs w:val="21"/>
        </w:rPr>
        <w:t xml:space="preserve"> 投标人所委派本项目的人员配备（标明本包组项目不同职称人员数目）</w:t>
      </w:r>
      <w:r>
        <w:rPr>
          <w:rFonts w:hint="eastAsia" w:ascii="宋体" w:hAnsi="宋体" w:cs="宋体"/>
          <w:color w:val="auto"/>
          <w:szCs w:val="21"/>
          <w:lang w:eastAsia="zh-CN"/>
        </w:rPr>
        <w:t>、</w:t>
      </w:r>
      <w:r>
        <w:rPr>
          <w:rFonts w:hint="eastAsia" w:ascii="宋体" w:hAnsi="宋体" w:cs="宋体"/>
          <w:color w:val="auto"/>
          <w:szCs w:val="21"/>
        </w:rPr>
        <w:t>职责，提供完备的服务团队，包括项目负责人、技术人员等需具备检验资格卫生技术、临床基因扩增检验技术证书等。（注：需提供相关人员的资格证书复印件并加盖投标人公章，提供项目团队成员社保证明（窗口打印件或网上截图均可）或劳动关系证明。）</w:t>
      </w:r>
    </w:p>
    <w:p w14:paraId="0D9D07A2">
      <w:pPr>
        <w:rPr>
          <w:rFonts w:hint="eastAsia" w:ascii="宋体" w:hAnsi="宋体" w:cs="宋体"/>
          <w:szCs w:val="21"/>
        </w:rPr>
      </w:pPr>
      <w:r>
        <w:rPr>
          <w:rFonts w:hint="eastAsia" w:ascii="宋体" w:hAnsi="宋体" w:cs="宋体"/>
          <w:szCs w:val="21"/>
        </w:rPr>
        <w:t>（三）标本收集、运送方案</w:t>
      </w:r>
    </w:p>
    <w:p w14:paraId="0627DCC5">
      <w:pPr>
        <w:pStyle w:val="2"/>
        <w:ind w:firstLine="420" w:firstLineChars="20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投标人</w:t>
      </w:r>
      <w:r>
        <w:rPr>
          <w:rFonts w:hint="eastAsia" w:ascii="宋体" w:eastAsia="宋体" w:cs="宋体"/>
          <w:b w:val="0"/>
          <w:bCs w:val="0"/>
          <w:color w:val="auto"/>
          <w:kern w:val="2"/>
          <w:sz w:val="21"/>
          <w:szCs w:val="21"/>
          <w:lang w:val="en-US" w:eastAsia="zh-CN" w:bidi="ar-SA"/>
        </w:rPr>
        <w:t>应</w:t>
      </w:r>
      <w:r>
        <w:rPr>
          <w:rFonts w:hint="eastAsia" w:ascii="宋体" w:hAnsi="宋体" w:eastAsia="宋体" w:cs="宋体"/>
          <w:b w:val="0"/>
          <w:bCs w:val="0"/>
          <w:color w:val="auto"/>
          <w:kern w:val="2"/>
          <w:sz w:val="21"/>
          <w:szCs w:val="21"/>
          <w:lang w:val="en-US" w:eastAsia="zh-CN" w:bidi="ar-SA"/>
        </w:rPr>
        <w:t>制定有完善的标本采集、运输、贮存、结果发放的制度，具有药品冷链物流运作规范国家标准达标与生物安全要求并被切实执行，同时必须配备完善医疗冷链物流系统和信息服务体系，要保证接收、送检标本运输过程的安全，保证标本的质量。能否提供相关物流资质证书，标本箱具备GPS定位和温度监控功能。（需提供相关证明文件加盖投标人公章，并提供标本采集、运输、贮存、结果发放的制度或方案）</w:t>
      </w:r>
    </w:p>
    <w:p w14:paraId="12940AE5">
      <w:pPr>
        <w:numPr>
          <w:ilvl w:val="0"/>
          <w:numId w:val="2"/>
        </w:numPr>
        <w:ind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投标人需提供以下参数（需提供相关证明文件）</w:t>
      </w:r>
    </w:p>
    <w:p w14:paraId="0FB67B24">
      <w:pPr>
        <w:numPr>
          <w:ilvl w:val="0"/>
          <w:numId w:val="0"/>
        </w:numPr>
        <w:ind w:left="0" w:leftChars="0" w:firstLine="420" w:firstLineChars="200"/>
        <w:rPr>
          <w:rFonts w:hint="eastAsia" w:ascii="宋体" w:eastAsia="宋体" w:cs="宋体"/>
          <w:b w:val="0"/>
          <w:bCs w:val="0"/>
          <w:color w:val="auto"/>
          <w:kern w:val="2"/>
          <w:sz w:val="21"/>
          <w:szCs w:val="21"/>
          <w:highlight w:val="none"/>
          <w:lang w:val="en-US" w:eastAsia="zh-CN" w:bidi="ar-SA"/>
        </w:rPr>
      </w:pPr>
      <w:r>
        <w:rPr>
          <w:rFonts w:hint="eastAsia" w:ascii="宋体" w:hAnsi="Calibri"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kern w:val="2"/>
          <w:sz w:val="21"/>
          <w:szCs w:val="21"/>
          <w:highlight w:val="none"/>
          <w:lang w:val="en-US" w:eastAsia="zh-CN" w:bidi="ar-SA"/>
        </w:rPr>
        <w:t>投标人提供</w:t>
      </w:r>
      <w:r>
        <w:rPr>
          <w:rFonts w:hint="eastAsia" w:ascii="宋体" w:eastAsia="宋体" w:cs="宋体"/>
          <w:b w:val="0"/>
          <w:bCs w:val="0"/>
          <w:color w:val="auto"/>
          <w:kern w:val="2"/>
          <w:sz w:val="21"/>
          <w:szCs w:val="21"/>
          <w:highlight w:val="none"/>
          <w:lang w:val="en-US" w:eastAsia="zh-CN" w:bidi="ar-SA"/>
        </w:rPr>
        <w:t>近三年每年</w:t>
      </w:r>
      <w:r>
        <w:rPr>
          <w:rFonts w:hint="eastAsia" w:ascii="宋体" w:cs="宋体"/>
          <w:b w:val="0"/>
          <w:bCs w:val="0"/>
          <w:color w:val="auto"/>
          <w:kern w:val="2"/>
          <w:sz w:val="21"/>
          <w:szCs w:val="21"/>
          <w:highlight w:val="none"/>
          <w:lang w:val="en-US" w:eastAsia="zh-CN" w:bidi="ar-SA"/>
        </w:rPr>
        <w:t>的</w:t>
      </w:r>
      <w:r>
        <w:rPr>
          <w:rFonts w:hint="eastAsia" w:ascii="宋体" w:eastAsia="宋体" w:cs="宋体"/>
          <w:b w:val="0"/>
          <w:bCs w:val="0"/>
          <w:color w:val="auto"/>
          <w:kern w:val="2"/>
          <w:sz w:val="21"/>
          <w:szCs w:val="21"/>
          <w:highlight w:val="none"/>
          <w:lang w:val="en-US" w:eastAsia="zh-CN" w:bidi="ar-SA"/>
        </w:rPr>
        <w:t>服务总量、</w:t>
      </w:r>
      <w:r>
        <w:rPr>
          <w:rFonts w:hint="eastAsia" w:ascii="宋体" w:cs="宋体"/>
          <w:b w:val="0"/>
          <w:bCs w:val="0"/>
          <w:color w:val="auto"/>
          <w:kern w:val="2"/>
          <w:sz w:val="21"/>
          <w:szCs w:val="21"/>
          <w:highlight w:val="none"/>
          <w:lang w:val="en-US" w:eastAsia="zh-CN" w:bidi="ar-SA"/>
        </w:rPr>
        <w:t>妇科肿瘤分子检测阳性率/失败率</w:t>
      </w:r>
      <w:r>
        <w:rPr>
          <w:rFonts w:hint="eastAsia" w:ascii="宋体" w:hAnsi="宋体" w:cs="宋体"/>
          <w:b w:val="0"/>
          <w:bCs w:val="0"/>
          <w:color w:val="auto"/>
          <w:kern w:val="2"/>
          <w:sz w:val="21"/>
          <w:szCs w:val="21"/>
          <w:highlight w:val="none"/>
          <w:lang w:val="en-US" w:eastAsia="zh-CN" w:bidi="ar-SA"/>
        </w:rPr>
        <w:t>、儿童实体肿瘤分子检测阳性率/失败率、血液</w:t>
      </w:r>
      <w:r>
        <w:rPr>
          <w:rFonts w:hint="eastAsia" w:ascii="宋体" w:cs="宋体"/>
          <w:b w:val="0"/>
          <w:bCs w:val="0"/>
          <w:color w:val="auto"/>
          <w:kern w:val="2"/>
          <w:sz w:val="21"/>
          <w:szCs w:val="21"/>
          <w:highlight w:val="none"/>
          <w:lang w:val="en-US" w:eastAsia="zh-CN" w:bidi="ar-SA"/>
        </w:rPr>
        <w:t>肿瘤分子检测阳性率/失败率、</w:t>
      </w:r>
      <w:r>
        <w:rPr>
          <w:rFonts w:hint="eastAsia" w:ascii="宋体" w:hAnsi="宋体" w:cs="宋体"/>
          <w:b w:val="0"/>
          <w:bCs w:val="0"/>
          <w:color w:val="auto"/>
          <w:kern w:val="2"/>
          <w:sz w:val="21"/>
          <w:szCs w:val="21"/>
          <w:highlight w:val="none"/>
          <w:lang w:val="en-US" w:eastAsia="zh-CN" w:bidi="ar-SA"/>
        </w:rPr>
        <w:t>血液肿瘤流式细胞学检测阳性率/失败率、细胞遗传学检测阳性率/失败率</w:t>
      </w:r>
      <w:r>
        <w:rPr>
          <w:rFonts w:hint="eastAsia" w:ascii="宋体" w:eastAsia="宋体" w:cs="宋体"/>
          <w:b w:val="0"/>
          <w:bCs w:val="0"/>
          <w:color w:val="auto"/>
          <w:kern w:val="2"/>
          <w:sz w:val="21"/>
          <w:szCs w:val="21"/>
          <w:highlight w:val="none"/>
          <w:lang w:val="en-US" w:eastAsia="zh-CN" w:bidi="ar-SA"/>
        </w:rPr>
        <w:t>等</w:t>
      </w:r>
      <w:r>
        <w:rPr>
          <w:rFonts w:hint="eastAsia" w:ascii="宋体" w:cs="宋体"/>
          <w:b w:val="0"/>
          <w:bCs w:val="0"/>
          <w:color w:val="auto"/>
          <w:kern w:val="2"/>
          <w:sz w:val="21"/>
          <w:szCs w:val="21"/>
          <w:highlight w:val="none"/>
          <w:lang w:val="en-US" w:eastAsia="zh-CN" w:bidi="ar-SA"/>
        </w:rPr>
        <w:t>。</w:t>
      </w:r>
    </w:p>
    <w:p w14:paraId="22744312">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2.投标人提供检测流程、检测周期</w:t>
      </w:r>
      <w:r>
        <w:rPr>
          <w:rFonts w:hint="eastAsia" w:ascii="宋体" w:eastAsia="宋体" w:cs="宋体"/>
          <w:b w:val="0"/>
          <w:bCs w:val="0"/>
          <w:color w:val="auto"/>
          <w:kern w:val="2"/>
          <w:sz w:val="21"/>
          <w:szCs w:val="21"/>
          <w:highlight w:val="none"/>
          <w:lang w:val="en-US" w:eastAsia="zh-CN" w:bidi="ar-SA"/>
        </w:rPr>
        <w:t>等</w:t>
      </w:r>
      <w:r>
        <w:rPr>
          <w:rFonts w:hint="eastAsia" w:ascii="宋体" w:hAnsi="宋体" w:eastAsia="宋体" w:cs="宋体"/>
          <w:b w:val="0"/>
          <w:bCs w:val="0"/>
          <w:color w:val="auto"/>
          <w:kern w:val="2"/>
          <w:sz w:val="21"/>
          <w:szCs w:val="21"/>
          <w:highlight w:val="none"/>
          <w:lang w:val="en-US" w:eastAsia="zh-CN" w:bidi="ar-SA"/>
        </w:rPr>
        <w:t>。</w:t>
      </w:r>
    </w:p>
    <w:p w14:paraId="4FCBCB22">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3.样本类型：全血、骨髓穿刺液、玻片、FFPE固定组织、脑脊液。</w:t>
      </w:r>
    </w:p>
    <w:p w14:paraId="34DEC587">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4.投标人用于检测服务的</w:t>
      </w:r>
      <w:r>
        <w:rPr>
          <w:rFonts w:hint="eastAsia" w:ascii="宋体" w:hAnsi="宋体" w:cs="宋体"/>
          <w:b w:val="0"/>
          <w:bCs w:val="0"/>
          <w:color w:val="auto"/>
          <w:kern w:val="2"/>
          <w:sz w:val="21"/>
          <w:szCs w:val="21"/>
          <w:highlight w:val="none"/>
          <w:lang w:val="en-US" w:eastAsia="zh-CN" w:bidi="ar-SA"/>
        </w:rPr>
        <w:t>主要仪器</w:t>
      </w:r>
      <w:r>
        <w:rPr>
          <w:rFonts w:hint="eastAsia" w:ascii="宋体" w:hAnsi="宋体" w:eastAsia="宋体" w:cs="宋体"/>
          <w:b w:val="0"/>
          <w:bCs w:val="0"/>
          <w:color w:val="auto"/>
          <w:kern w:val="2"/>
          <w:sz w:val="21"/>
          <w:szCs w:val="21"/>
          <w:highlight w:val="none"/>
          <w:lang w:val="en-US" w:eastAsia="zh-CN" w:bidi="ar-SA"/>
        </w:rPr>
        <w:t>、试剂、软件应当符合《医疗器械监督管理条例》和《医疗器械注册管理办法》等相关规定，经过药品监督管理部门批准注册或备案（请附资料说明</w:t>
      </w:r>
      <w:r>
        <w:rPr>
          <w:rFonts w:hint="eastAsia" w:ascii="宋体" w:eastAsia="宋体" w:cs="宋体"/>
          <w:b w:val="0"/>
          <w:bCs w:val="0"/>
          <w:color w:val="auto"/>
          <w:kern w:val="2"/>
          <w:sz w:val="21"/>
          <w:szCs w:val="21"/>
          <w:highlight w:val="none"/>
          <w:lang w:val="en-US" w:eastAsia="zh-CN" w:bidi="ar-SA"/>
        </w:rPr>
        <w:t>，列出清单</w:t>
      </w:r>
      <w:r>
        <w:rPr>
          <w:rFonts w:hint="eastAsia" w:ascii="宋体" w:hAnsi="宋体" w:eastAsia="宋体" w:cs="宋体"/>
          <w:b w:val="0"/>
          <w:bCs w:val="0"/>
          <w:color w:val="auto"/>
          <w:kern w:val="2"/>
          <w:sz w:val="21"/>
          <w:szCs w:val="21"/>
          <w:highlight w:val="none"/>
          <w:lang w:val="en-US" w:eastAsia="zh-CN" w:bidi="ar-SA"/>
        </w:rPr>
        <w:t>）。</w:t>
      </w:r>
    </w:p>
    <w:p w14:paraId="2C163479">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w:t>
      </w:r>
      <w:r>
        <w:rPr>
          <w:rFonts w:hint="eastAsia" w:ascii="宋体" w:hAnsi="宋体" w:cs="宋体"/>
          <w:b w:val="0"/>
          <w:bCs w:val="0"/>
          <w:color w:val="auto"/>
          <w:kern w:val="2"/>
          <w:sz w:val="21"/>
          <w:szCs w:val="21"/>
          <w:highlight w:val="none"/>
          <w:lang w:val="en-US" w:eastAsia="zh-CN" w:bidi="ar-SA"/>
        </w:rPr>
        <w:t>需</w:t>
      </w:r>
      <w:r>
        <w:rPr>
          <w:rFonts w:hint="eastAsia" w:ascii="宋体" w:hAnsi="宋体" w:eastAsia="宋体" w:cs="宋体"/>
          <w:b w:val="0"/>
          <w:bCs w:val="0"/>
          <w:color w:val="auto"/>
          <w:kern w:val="2"/>
          <w:sz w:val="21"/>
          <w:szCs w:val="21"/>
          <w:highlight w:val="none"/>
          <w:lang w:val="en-US" w:eastAsia="zh-CN" w:bidi="ar-SA"/>
        </w:rPr>
        <w:t>拥有高通量测序平台，其中主要生产平台型号至少具备2台以上；拥有自动化样本抽屉及建库设备一套或以上；拥有数字PCR、定量PCR、毛细管电泳、FISH、SNP-Array、染色体核型分析等非测序类遗传检测技术平台；</w:t>
      </w:r>
    </w:p>
    <w:p w14:paraId="4B45129D">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6</w:t>
      </w:r>
      <w:r>
        <w:rPr>
          <w:rFonts w:hint="eastAsia" w:ascii="宋体" w:hAnsi="宋体" w:eastAsia="宋体" w:cs="宋体"/>
          <w:b w:val="0"/>
          <w:bCs w:val="0"/>
          <w:color w:val="auto"/>
          <w:kern w:val="2"/>
          <w:sz w:val="21"/>
          <w:szCs w:val="21"/>
          <w:highlight w:val="none"/>
          <w:lang w:val="en-US" w:eastAsia="zh-CN" w:bidi="ar-SA"/>
        </w:rPr>
        <w:t>.测序数据生信分析及注释要求：</w:t>
      </w:r>
    </w:p>
    <w:p w14:paraId="73B8BE80">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A</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生信分析环节采用自建或第三方商用分析加速软件提速生信分析过程。单例肿瘤全外显子组测序数据生信分析时长低于</w:t>
      </w:r>
      <w:r>
        <w:rPr>
          <w:rFonts w:hint="eastAsia" w:ascii="宋体" w:hAnsi="宋体" w:cs="宋体"/>
          <w:b w:val="0"/>
          <w:bCs w:val="0"/>
          <w:color w:val="auto"/>
          <w:kern w:val="2"/>
          <w:sz w:val="21"/>
          <w:szCs w:val="21"/>
          <w:highlight w:val="none"/>
          <w:lang w:val="en-US" w:eastAsia="zh-CN" w:bidi="ar-SA"/>
        </w:rPr>
        <w:t>48</w:t>
      </w:r>
      <w:r>
        <w:rPr>
          <w:rFonts w:hint="eastAsia" w:ascii="宋体" w:hAnsi="宋体" w:eastAsia="宋体" w:cs="宋体"/>
          <w:b w:val="0"/>
          <w:bCs w:val="0"/>
          <w:color w:val="auto"/>
          <w:kern w:val="2"/>
          <w:sz w:val="21"/>
          <w:szCs w:val="21"/>
          <w:highlight w:val="none"/>
          <w:lang w:val="en-US" w:eastAsia="zh-CN" w:bidi="ar-SA"/>
        </w:rPr>
        <w:t>小时，单例肿瘤转录组测序数据生信分析时长低于24小时，单例肿瘤大panel测序数据生信分析时长低于1</w:t>
      </w:r>
      <w:r>
        <w:rPr>
          <w:rFonts w:hint="eastAsia" w:ascii="宋体" w:hAnsi="宋体" w:cs="宋体"/>
          <w:b w:val="0"/>
          <w:bCs w:val="0"/>
          <w:color w:val="auto"/>
          <w:kern w:val="2"/>
          <w:sz w:val="21"/>
          <w:szCs w:val="21"/>
          <w:highlight w:val="none"/>
          <w:lang w:val="en-US" w:eastAsia="zh-CN" w:bidi="ar-SA"/>
        </w:rPr>
        <w:t>8</w:t>
      </w:r>
      <w:r>
        <w:rPr>
          <w:rFonts w:hint="eastAsia" w:ascii="宋体" w:hAnsi="宋体" w:eastAsia="宋体" w:cs="宋体"/>
          <w:b w:val="0"/>
          <w:bCs w:val="0"/>
          <w:color w:val="auto"/>
          <w:kern w:val="2"/>
          <w:sz w:val="21"/>
          <w:szCs w:val="21"/>
          <w:highlight w:val="none"/>
          <w:lang w:val="en-US" w:eastAsia="zh-CN" w:bidi="ar-SA"/>
        </w:rPr>
        <w:t>小时；</w:t>
      </w:r>
    </w:p>
    <w:p w14:paraId="6DCE00B8">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B）</w:t>
      </w:r>
      <w:r>
        <w:rPr>
          <w:rFonts w:hint="eastAsia" w:ascii="宋体" w:hAnsi="宋体" w:eastAsia="宋体" w:cs="宋体"/>
          <w:b w:val="0"/>
          <w:bCs w:val="0"/>
          <w:color w:val="auto"/>
          <w:kern w:val="2"/>
          <w:sz w:val="21"/>
          <w:szCs w:val="21"/>
          <w:highlight w:val="none"/>
          <w:lang w:val="en-US" w:eastAsia="zh-CN" w:bidi="ar-SA"/>
        </w:rPr>
        <w:t>使用规范采购及授权的OMIM、GnomAD、HGMD、ClinVar、OncoKB、COSMIC等数据库对变异进行注释；</w:t>
      </w:r>
    </w:p>
    <w:p w14:paraId="59F4D166">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C）</w:t>
      </w:r>
      <w:r>
        <w:rPr>
          <w:rFonts w:hint="eastAsia" w:ascii="宋体" w:hAnsi="宋体" w:eastAsia="宋体" w:cs="宋体"/>
          <w:b w:val="0"/>
          <w:bCs w:val="0"/>
          <w:color w:val="auto"/>
          <w:kern w:val="2"/>
          <w:sz w:val="21"/>
          <w:szCs w:val="21"/>
          <w:highlight w:val="none"/>
          <w:lang w:val="en-US" w:eastAsia="zh-CN" w:bidi="ar-SA"/>
        </w:rPr>
        <w:t>应至少包含样本污染/混淆排查、样本性别核查、样本测序深度、Q30、捕获特异性、目标区域覆盖度</w:t>
      </w:r>
      <w:r>
        <w:rPr>
          <w:rFonts w:hint="eastAsia" w:ascii="宋体" w:hAnsi="宋体" w:cs="宋体"/>
          <w:b w:val="0"/>
          <w:bCs w:val="0"/>
          <w:color w:val="auto"/>
          <w:kern w:val="2"/>
          <w:sz w:val="21"/>
          <w:szCs w:val="21"/>
          <w:highlight w:val="none"/>
          <w:lang w:val="en-US" w:eastAsia="zh-CN" w:bidi="ar-SA"/>
        </w:rPr>
        <w:t>、重复率</w:t>
      </w:r>
      <w:r>
        <w:rPr>
          <w:rFonts w:hint="eastAsia" w:ascii="宋体" w:hAnsi="宋体" w:eastAsia="宋体" w:cs="宋体"/>
          <w:b w:val="0"/>
          <w:bCs w:val="0"/>
          <w:color w:val="auto"/>
          <w:kern w:val="2"/>
          <w:sz w:val="21"/>
          <w:szCs w:val="21"/>
          <w:highlight w:val="none"/>
          <w:lang w:val="en-US" w:eastAsia="zh-CN" w:bidi="ar-SA"/>
        </w:rPr>
        <w:t>等质控内容。</w:t>
      </w:r>
    </w:p>
    <w:p w14:paraId="6E453A08">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7</w:t>
      </w:r>
      <w:r>
        <w:rPr>
          <w:rFonts w:hint="eastAsia" w:ascii="宋体" w:hAnsi="宋体" w:eastAsia="宋体" w:cs="宋体"/>
          <w:b w:val="0"/>
          <w:bCs w:val="0"/>
          <w:color w:val="auto"/>
          <w:kern w:val="2"/>
          <w:sz w:val="21"/>
          <w:szCs w:val="21"/>
          <w:highlight w:val="none"/>
          <w:lang w:val="en-US" w:eastAsia="zh-CN" w:bidi="ar-SA"/>
        </w:rPr>
        <w:t>.其他项目技术要求：</w:t>
      </w:r>
    </w:p>
    <w:p w14:paraId="0D550923">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A）</w:t>
      </w:r>
      <w:r>
        <w:rPr>
          <w:rFonts w:hint="eastAsia" w:ascii="宋体" w:hAnsi="宋体" w:eastAsia="宋体" w:cs="宋体"/>
          <w:b w:val="0"/>
          <w:bCs w:val="0"/>
          <w:color w:val="auto"/>
          <w:kern w:val="2"/>
          <w:sz w:val="21"/>
          <w:szCs w:val="21"/>
          <w:highlight w:val="none"/>
          <w:lang w:val="en-US" w:eastAsia="zh-CN" w:bidi="ar-SA"/>
        </w:rPr>
        <w:t>血液肿瘤学科拥有MICM完整的诊断体系，有能力提供疑难案例的综合诊断咨询；</w:t>
      </w:r>
    </w:p>
    <w:p w14:paraId="233B9195">
      <w:pPr>
        <w:numPr>
          <w:ilvl w:val="0"/>
          <w:numId w:val="0"/>
        </w:numPr>
        <w:ind w:left="0" w:leftChars="0" w:firstLine="420" w:firstLineChars="200"/>
        <w:rPr>
          <w:rFonts w:hint="eastAsia" w:ascii="宋体" w:hAnsi="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B）</w:t>
      </w:r>
      <w:r>
        <w:rPr>
          <w:rFonts w:hint="eastAsia" w:ascii="宋体" w:hAnsi="宋体" w:eastAsia="宋体" w:cs="宋体"/>
          <w:b w:val="0"/>
          <w:bCs w:val="0"/>
          <w:color w:val="auto"/>
          <w:kern w:val="2"/>
          <w:sz w:val="21"/>
          <w:szCs w:val="21"/>
          <w:highlight w:val="none"/>
          <w:lang w:val="en-US" w:eastAsia="zh-CN" w:bidi="ar-SA"/>
        </w:rPr>
        <w:t>实体瘤组织分子检测前有符合资质要求的病理医生进行规范的肿瘤含量评估质控</w:t>
      </w:r>
      <w:r>
        <w:rPr>
          <w:rFonts w:hint="eastAsia" w:ascii="宋体" w:hAnsi="宋体" w:cs="宋体"/>
          <w:b w:val="0"/>
          <w:bCs w:val="0"/>
          <w:color w:val="auto"/>
          <w:kern w:val="2"/>
          <w:sz w:val="21"/>
          <w:szCs w:val="21"/>
          <w:highlight w:val="none"/>
          <w:lang w:val="en-US" w:eastAsia="zh-CN" w:bidi="ar-SA"/>
        </w:rPr>
        <w:t>。</w:t>
      </w:r>
    </w:p>
    <w:p w14:paraId="39302DBD">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C）</w:t>
      </w:r>
      <w:r>
        <w:rPr>
          <w:rFonts w:hint="eastAsia" w:ascii="宋体" w:hAnsi="宋体" w:eastAsia="宋体" w:cs="宋体"/>
          <w:b w:val="0"/>
          <w:bCs w:val="0"/>
          <w:color w:val="auto"/>
          <w:kern w:val="2"/>
          <w:sz w:val="21"/>
          <w:szCs w:val="21"/>
          <w:highlight w:val="none"/>
          <w:lang w:val="en-US" w:eastAsia="zh-CN" w:bidi="ar-SA"/>
        </w:rPr>
        <w:t>细胞形态学平台开展血液病理项目，如骨髓细胞学涂片、骨髓活检、骨髓免疫组化等；</w:t>
      </w:r>
    </w:p>
    <w:p w14:paraId="797A5033">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D）</w:t>
      </w:r>
      <w:r>
        <w:rPr>
          <w:rFonts w:hint="eastAsia" w:ascii="宋体" w:hAnsi="宋体" w:eastAsia="宋体" w:cs="宋体"/>
          <w:b w:val="0"/>
          <w:bCs w:val="0"/>
          <w:color w:val="auto"/>
          <w:kern w:val="2"/>
          <w:sz w:val="21"/>
          <w:szCs w:val="21"/>
          <w:highlight w:val="none"/>
          <w:lang w:val="en-US" w:eastAsia="zh-CN" w:bidi="ar-SA"/>
        </w:rPr>
        <w:t>细胞免疫平台拥有先进的仪器设备，开展白血病/淋巴瘤微小残留、白血病/淋巴瘤免疫分型、二代流式等检测项目；</w:t>
      </w:r>
    </w:p>
    <w:p w14:paraId="7263D45B">
      <w:pPr>
        <w:numPr>
          <w:ilvl w:val="0"/>
          <w:numId w:val="0"/>
        </w:numPr>
        <w:ind w:left="0" w:leftChars="0"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E）</w:t>
      </w:r>
      <w:r>
        <w:rPr>
          <w:rFonts w:hint="eastAsia" w:ascii="宋体" w:hAnsi="宋体" w:eastAsia="宋体" w:cs="宋体"/>
          <w:b w:val="0"/>
          <w:bCs w:val="0"/>
          <w:color w:val="auto"/>
          <w:kern w:val="2"/>
          <w:sz w:val="21"/>
          <w:szCs w:val="21"/>
          <w:highlight w:val="none"/>
          <w:lang w:val="en-US" w:eastAsia="zh-CN" w:bidi="ar-SA"/>
        </w:rPr>
        <w:t>细胞遗传平台拥有先进的自动化仪器设备，开展骨髓染色体核型分析、外周血染色体核型分析、骨髓荧光原位杂交(FISH)、组织荧光原位杂交(FISH)等检测项目。</w:t>
      </w:r>
    </w:p>
    <w:p w14:paraId="79FA8E16">
      <w:pPr>
        <w:pStyle w:val="2"/>
        <w:ind w:firstLine="420" w:firstLineChars="200"/>
        <w:rPr>
          <w:rFonts w:hint="eastAsia" w:ascii="宋体" w:eastAsia="宋体" w:cs="宋体"/>
          <w:b w:val="0"/>
          <w:bCs w:val="0"/>
          <w:sz w:val="21"/>
          <w:szCs w:val="21"/>
        </w:rPr>
      </w:pPr>
      <w:r>
        <w:rPr>
          <w:rFonts w:hint="eastAsia" w:ascii="宋体" w:eastAsia="宋体" w:cs="宋体"/>
          <w:b w:val="0"/>
          <w:bCs w:val="0"/>
          <w:sz w:val="21"/>
          <w:szCs w:val="21"/>
        </w:rPr>
        <w:t>（</w:t>
      </w:r>
      <w:r>
        <w:rPr>
          <w:rFonts w:hint="eastAsia" w:ascii="宋体" w:eastAsia="宋体" w:cs="宋体"/>
          <w:b w:val="0"/>
          <w:bCs w:val="0"/>
          <w:sz w:val="21"/>
          <w:szCs w:val="21"/>
          <w:lang w:val="en-US" w:eastAsia="zh-CN"/>
        </w:rPr>
        <w:t>五</w:t>
      </w:r>
      <w:r>
        <w:rPr>
          <w:rFonts w:hint="eastAsia" w:ascii="宋体" w:eastAsia="宋体" w:cs="宋体"/>
          <w:b w:val="0"/>
          <w:bCs w:val="0"/>
          <w:sz w:val="21"/>
          <w:szCs w:val="21"/>
        </w:rPr>
        <w:t>）售后服务方案</w:t>
      </w:r>
    </w:p>
    <w:p w14:paraId="73197BC5">
      <w:pPr>
        <w:ind w:firstLine="420" w:firstLineChars="200"/>
        <w:rPr>
          <w:rFonts w:hint="eastAsia" w:ascii="宋体" w:hAnsi="宋体" w:eastAsia="宋体" w:cs="宋体"/>
          <w:szCs w:val="21"/>
          <w:lang w:eastAsia="zh-CN"/>
        </w:rPr>
      </w:pPr>
      <w:r>
        <w:rPr>
          <w:rFonts w:hint="eastAsia" w:ascii="宋体" w:hAnsi="宋体" w:cs="宋体"/>
          <w:szCs w:val="21"/>
          <w:lang w:val="en-US" w:eastAsia="zh-CN"/>
        </w:rPr>
        <w:t>1.</w:t>
      </w:r>
      <w:r>
        <w:rPr>
          <w:rFonts w:hint="eastAsia" w:ascii="宋体" w:hAnsi="宋体" w:cs="宋体"/>
          <w:szCs w:val="21"/>
        </w:rPr>
        <w:t>投标实验室是否提供免费服务电话、网络查询、微信查询等多种渠道</w:t>
      </w:r>
      <w:r>
        <w:rPr>
          <w:rFonts w:hint="eastAsia" w:ascii="宋体" w:hAnsi="宋体" w:cs="宋体"/>
          <w:szCs w:val="21"/>
          <w:highlight w:val="none"/>
        </w:rPr>
        <w:t>供采购</w:t>
      </w:r>
      <w:r>
        <w:rPr>
          <w:rFonts w:hint="eastAsia" w:ascii="宋体" w:hAnsi="宋体" w:cs="宋体"/>
          <w:color w:val="auto"/>
          <w:szCs w:val="21"/>
          <w:highlight w:val="none"/>
        </w:rPr>
        <w:t>人相关临床部门进行业务咨询、报告查询</w:t>
      </w:r>
      <w:r>
        <w:rPr>
          <w:rFonts w:hint="eastAsia" w:ascii="宋体" w:hAnsi="宋体" w:cs="宋体"/>
          <w:color w:val="auto"/>
          <w:szCs w:val="21"/>
        </w:rPr>
        <w:t>、账单查询统计功能。制定完善</w:t>
      </w:r>
      <w:r>
        <w:rPr>
          <w:rFonts w:hint="eastAsia" w:ascii="宋体" w:hAnsi="宋体" w:cs="宋体"/>
          <w:color w:val="auto"/>
          <w:szCs w:val="21"/>
          <w:lang w:val="en-US" w:eastAsia="zh-CN"/>
        </w:rPr>
        <w:t>制度</w:t>
      </w:r>
      <w:r>
        <w:rPr>
          <w:rFonts w:hint="eastAsia" w:ascii="宋体" w:hAnsi="宋体" w:cs="宋体"/>
          <w:color w:val="auto"/>
          <w:szCs w:val="21"/>
        </w:rPr>
        <w:t>和流程保障</w:t>
      </w:r>
      <w:r>
        <w:rPr>
          <w:rFonts w:hint="eastAsia" w:ascii="宋体" w:hAnsi="宋体" w:cs="宋体"/>
          <w:szCs w:val="21"/>
        </w:rPr>
        <w:t>上门服务，并派驻具有医学检验背景的专业人员提供上门售后服务。</w:t>
      </w:r>
    </w:p>
    <w:p w14:paraId="07BE516B">
      <w:pPr>
        <w:ind w:firstLine="420" w:firstLineChars="200"/>
        <w:rPr>
          <w:rFonts w:hint="eastAsia" w:ascii="宋体" w:hAnsi="宋体" w:cs="宋体"/>
          <w:color w:val="auto"/>
          <w:szCs w:val="21"/>
        </w:rPr>
      </w:pPr>
      <w:r>
        <w:rPr>
          <w:rFonts w:hint="eastAsia" w:ascii="宋体" w:hAnsi="宋体" w:cs="宋体"/>
          <w:szCs w:val="21"/>
          <w:lang w:val="en-US" w:eastAsia="zh-CN"/>
        </w:rPr>
        <w:t>2.</w:t>
      </w:r>
      <w:r>
        <w:rPr>
          <w:rFonts w:hint="eastAsia" w:ascii="宋体" w:hAnsi="宋体" w:cs="宋体"/>
          <w:szCs w:val="21"/>
        </w:rPr>
        <w:t>检验信息化服务能力方案方面，投标实验室是否具备检验信息系统，是否可以与采购人对接，以能满足客户要求。提供计算机软件著作权登记证书，提供系统安全证书，提供已合作医院 LIS 对接的证明文件</w:t>
      </w:r>
      <w:r>
        <w:rPr>
          <w:rFonts w:hint="eastAsia" w:ascii="宋体" w:hAnsi="宋体" w:cs="宋体"/>
          <w:color w:val="auto"/>
          <w:szCs w:val="21"/>
        </w:rPr>
        <w:t>。投标人负责与医院LIS和HIS系统对接,并负责LIS和HIS系统对接产生的所有费用，该费用包含在投标报价中。</w:t>
      </w:r>
    </w:p>
    <w:p w14:paraId="688BD326">
      <w:pPr>
        <w:pStyle w:val="2"/>
        <w:ind w:firstLine="420" w:firstLineChars="200"/>
        <w:rPr>
          <w:rFonts w:hint="eastAsia" w:ascii="宋体" w:hAnsi="宋体" w:eastAsia="宋体" w:cs="宋体"/>
          <w:b w:val="0"/>
          <w:bCs w:val="0"/>
          <w:color w:val="auto"/>
          <w:kern w:val="2"/>
          <w:sz w:val="21"/>
          <w:szCs w:val="21"/>
          <w:lang w:val="en-US" w:eastAsia="zh-CN" w:bidi="ar-SA"/>
        </w:rPr>
      </w:pPr>
      <w:r>
        <w:rPr>
          <w:rFonts w:hint="eastAsia" w:ascii="宋体" w:eastAsia="宋体" w:cs="宋体"/>
          <w:b w:val="0"/>
          <w:bCs w:val="0"/>
          <w:color w:val="auto"/>
          <w:kern w:val="2"/>
          <w:sz w:val="21"/>
          <w:szCs w:val="21"/>
          <w:lang w:val="en-US" w:eastAsia="zh-CN" w:bidi="ar-SA"/>
        </w:rPr>
        <w:t>3.</w:t>
      </w:r>
      <w:r>
        <w:rPr>
          <w:rFonts w:hint="eastAsia" w:ascii="宋体" w:hAnsi="宋体" w:eastAsia="宋体" w:cs="宋体"/>
          <w:b w:val="0"/>
          <w:bCs w:val="0"/>
          <w:color w:val="auto"/>
          <w:kern w:val="2"/>
          <w:sz w:val="21"/>
          <w:szCs w:val="21"/>
          <w:lang w:val="en-US" w:eastAsia="zh-CN" w:bidi="ar-SA"/>
        </w:rPr>
        <w:t>投标人为医院与临床与其他医院相关专家提供良好的交流与学习机会（需提供相关证明文件）。</w:t>
      </w:r>
    </w:p>
    <w:p w14:paraId="3E8759BE">
      <w:pPr>
        <w:ind w:firstLine="420" w:firstLineChars="20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六</w:t>
      </w:r>
      <w:r>
        <w:rPr>
          <w:rFonts w:hint="eastAsia" w:ascii="宋体" w:hAnsi="宋体" w:cs="宋体"/>
          <w:szCs w:val="21"/>
          <w:lang w:eastAsia="zh-CN"/>
        </w:rPr>
        <w:t>）</w:t>
      </w:r>
      <w:r>
        <w:rPr>
          <w:rFonts w:hint="eastAsia" w:ascii="宋体" w:hAnsi="宋体" w:cs="宋体"/>
          <w:szCs w:val="21"/>
        </w:rPr>
        <w:t>升级更新、备品备件、耗材等后续采购</w:t>
      </w:r>
    </w:p>
    <w:p w14:paraId="27D0F39B">
      <w:pPr>
        <w:ind w:firstLine="420" w:firstLineChars="200"/>
        <w:rPr>
          <w:rFonts w:hint="default" w:eastAsia="黑体"/>
          <w:lang w:val="en-US" w:eastAsia="zh-CN"/>
        </w:rPr>
      </w:pPr>
      <w:r>
        <w:rPr>
          <w:rFonts w:hint="eastAsia" w:ascii="宋体" w:hAnsi="宋体" w:cs="宋体"/>
          <w:szCs w:val="21"/>
          <w:lang w:val="en-US" w:eastAsia="zh-CN"/>
        </w:rPr>
        <w:t>1.</w:t>
      </w:r>
      <w:r>
        <w:rPr>
          <w:rFonts w:hint="eastAsia" w:ascii="宋体" w:hAnsi="宋体" w:cs="宋体"/>
          <w:szCs w:val="21"/>
        </w:rPr>
        <w:t>投标人是否保证其用到本项目的专利、技术是其合格持有，且享有处分权，若因实施本项目的专利技术产生的侵权纠纷，采购人有权向中标人追究责任，并向中标人索赔因此受到的全部损失，并有权单方终止本项目合同。</w:t>
      </w:r>
    </w:p>
    <w:p w14:paraId="007BE7B6">
      <w:pPr>
        <w:ind w:firstLine="420" w:firstLineChars="200"/>
        <w:rPr>
          <w:rFonts w:hint="eastAsia" w:eastAsia="宋体"/>
          <w:color w:val="auto"/>
          <w:lang w:eastAsia="zh-CN"/>
        </w:rPr>
      </w:pPr>
      <w:r>
        <w:rPr>
          <w:rFonts w:hint="eastAsia" w:ascii="宋体" w:hAnsi="宋体" w:cs="宋体"/>
          <w:color w:val="auto"/>
          <w:szCs w:val="21"/>
          <w:lang w:val="en-US" w:eastAsia="zh-CN"/>
        </w:rPr>
        <w:t>2.</w:t>
      </w:r>
      <w:r>
        <w:rPr>
          <w:rFonts w:hint="eastAsia" w:ascii="宋体" w:hAnsi="宋体" w:cs="宋体"/>
          <w:color w:val="auto"/>
          <w:szCs w:val="21"/>
        </w:rPr>
        <w:t xml:space="preserve"> 投标人是否对采购人送检的合格样本结果负责，</w:t>
      </w:r>
      <w:r>
        <w:rPr>
          <w:rFonts w:hint="eastAsia"/>
          <w:color w:val="auto"/>
        </w:rPr>
        <w:t>需保证按国家检测规范进行操作，并对来样检测结果负责。如果因检测结果错误而导致发生医疗事故、医疗过错及其他问题的，</w:t>
      </w:r>
      <w:r>
        <w:rPr>
          <w:rFonts w:hint="eastAsia"/>
          <w:color w:val="auto"/>
          <w:lang w:val="en-US" w:eastAsia="zh-CN"/>
        </w:rPr>
        <w:t>投</w:t>
      </w:r>
      <w:r>
        <w:rPr>
          <w:rFonts w:hint="eastAsia"/>
          <w:color w:val="auto"/>
        </w:rPr>
        <w:t>标人承担全部赔偿责任。</w:t>
      </w:r>
    </w:p>
    <w:p w14:paraId="702A5B79">
      <w:pPr>
        <w:ind w:firstLine="420" w:firstLineChars="200"/>
        <w:rPr>
          <w:rFonts w:hint="eastAsia"/>
        </w:rPr>
      </w:pPr>
      <w:r>
        <w:rPr>
          <w:rFonts w:hint="eastAsia"/>
        </w:rPr>
        <w:t>（七）与项目相关的应急方案</w:t>
      </w:r>
    </w:p>
    <w:p w14:paraId="6C2AEABA">
      <w:pPr>
        <w:ind w:firstLine="420" w:firstLineChars="200"/>
        <w:rPr>
          <w:rFonts w:hint="eastAsia"/>
          <w:color w:val="auto"/>
        </w:rPr>
      </w:pPr>
      <w:r>
        <w:rPr>
          <w:rFonts w:hint="eastAsia"/>
          <w:color w:val="auto"/>
          <w:lang w:val="en-US" w:eastAsia="zh-CN"/>
        </w:rPr>
        <w:t>投</w:t>
      </w:r>
      <w:r>
        <w:rPr>
          <w:rFonts w:hint="eastAsia"/>
          <w:color w:val="auto"/>
        </w:rPr>
        <w:t>标人</w:t>
      </w:r>
      <w:r>
        <w:rPr>
          <w:rFonts w:hint="eastAsia"/>
          <w:color w:val="auto"/>
          <w:lang w:val="en-US" w:eastAsia="zh-CN"/>
        </w:rPr>
        <w:t>应</w:t>
      </w:r>
      <w:r>
        <w:rPr>
          <w:rFonts w:hint="eastAsia"/>
          <w:color w:val="auto"/>
        </w:rPr>
        <w:t>提供送检服务应急措施、具备处理投入本项目核心设备故障、防止检验室或样本污染的能力。有完整的对突发事件、安全事故处理的方案。建立相应质量控制制度，制定相应的质量管理手册（或制度）等相关内容。</w:t>
      </w:r>
    </w:p>
    <w:p w14:paraId="06E232CD">
      <w:pPr>
        <w:pStyle w:val="2"/>
        <w:ind w:firstLine="210" w:firstLineChars="100"/>
        <w:rPr>
          <w:rFonts w:hint="eastAsia" w:ascii="Calibri" w:hAnsi="Calibri" w:eastAsia="宋体" w:cs="Times New Roman"/>
          <w:b w:val="0"/>
          <w:bCs w:val="0"/>
          <w:color w:val="auto"/>
          <w:kern w:val="2"/>
          <w:sz w:val="21"/>
          <w:szCs w:val="22"/>
          <w:lang w:val="en-US" w:eastAsia="zh-CN" w:bidi="ar-SA"/>
        </w:rPr>
      </w:pPr>
      <w:r>
        <w:rPr>
          <w:rFonts w:hint="eastAsia" w:ascii="Calibri" w:hAnsi="Calibri" w:eastAsia="宋体" w:cs="Times New Roman"/>
          <w:b w:val="0"/>
          <w:bCs w:val="0"/>
          <w:color w:val="auto"/>
          <w:kern w:val="2"/>
          <w:sz w:val="21"/>
          <w:szCs w:val="22"/>
          <w:lang w:val="en-US" w:eastAsia="zh-CN" w:bidi="ar-SA"/>
        </w:rPr>
        <w:t>（八）履约验收方案（请供应商提供相关方案）</w:t>
      </w:r>
    </w:p>
    <w:p w14:paraId="210C4794">
      <w:pPr>
        <w:rPr>
          <w:rFonts w:hint="eastAsia" w:ascii="黑体" w:hAnsi="黑体" w:eastAsia="黑体" w:cs="黑体"/>
          <w:b/>
          <w:bCs/>
          <w:spacing w:val="-15"/>
          <w:sz w:val="22"/>
        </w:rPr>
      </w:pPr>
      <w:r>
        <w:rPr>
          <w:rFonts w:hint="eastAsia" w:ascii="黑体" w:hAnsi="黑体" w:eastAsia="黑体" w:cs="黑体"/>
          <w:b/>
          <w:bCs/>
          <w:spacing w:val="-15"/>
          <w:sz w:val="22"/>
        </w:rPr>
        <w:t>五 供应商完成同类采购项目历史成交信息</w:t>
      </w:r>
    </w:p>
    <w:p w14:paraId="1362E6A0">
      <w:pPr>
        <w:ind w:firstLine="420" w:firstLineChars="200"/>
        <w:rPr>
          <w:rFonts w:hint="eastAsia" w:ascii="宋体" w:hAnsi="宋体" w:cs="宋体"/>
          <w:color w:val="auto"/>
          <w:szCs w:val="21"/>
        </w:rPr>
      </w:pPr>
      <w:r>
        <w:rPr>
          <w:rFonts w:hint="eastAsia" w:ascii="宋体" w:hAnsi="宋体" w:cs="宋体"/>
          <w:szCs w:val="21"/>
        </w:rPr>
        <w:t>投标实验室是否可提供与</w:t>
      </w:r>
      <w:r>
        <w:rPr>
          <w:rFonts w:hint="eastAsia" w:ascii="宋体" w:hAnsi="宋体" w:cs="宋体"/>
          <w:szCs w:val="21"/>
          <w:lang w:val="en-US" w:eastAsia="zh-CN"/>
        </w:rPr>
        <w:t>本项目</w:t>
      </w:r>
      <w:r>
        <w:rPr>
          <w:rFonts w:hint="eastAsia" w:ascii="宋体" w:hAnsi="宋体" w:cs="宋体"/>
          <w:szCs w:val="21"/>
        </w:rPr>
        <w:t>相关的近三年具有为</w:t>
      </w:r>
      <w:r>
        <w:rPr>
          <w:rFonts w:hint="eastAsia" w:ascii="宋体" w:hAnsi="宋体" w:cs="宋体"/>
          <w:color w:val="auto"/>
          <w:szCs w:val="21"/>
        </w:rPr>
        <w:t>不同</w:t>
      </w:r>
      <w:r>
        <w:rPr>
          <w:rFonts w:hint="eastAsia" w:ascii="宋体" w:hAnsi="宋体" w:cs="宋体"/>
          <w:color w:val="auto"/>
          <w:szCs w:val="21"/>
          <w:lang w:val="en-US" w:eastAsia="zh-CN"/>
        </w:rPr>
        <w:t>地区</w:t>
      </w:r>
      <w:r>
        <w:rPr>
          <w:rFonts w:hint="eastAsia" w:ascii="宋体" w:hAnsi="宋体" w:cs="宋体"/>
          <w:szCs w:val="21"/>
          <w:lang w:val="en-US" w:eastAsia="zh-CN"/>
        </w:rPr>
        <w:t>或机构提供服务</w:t>
      </w:r>
      <w:r>
        <w:rPr>
          <w:rFonts w:hint="eastAsia" w:ascii="宋体" w:hAnsi="宋体" w:cs="宋体"/>
          <w:szCs w:val="21"/>
        </w:rPr>
        <w:t>的项目业绩。需提供合同关键页（含签订合同双方的单位名称、合同项目名称与含签订合同双方的落款</w:t>
      </w:r>
      <w:r>
        <w:rPr>
          <w:rFonts w:hint="eastAsia" w:ascii="宋体" w:hAnsi="宋体" w:cs="宋体"/>
          <w:color w:val="auto"/>
          <w:szCs w:val="21"/>
        </w:rPr>
        <w:t>盖章、签订日期的关键页）复印件并加盖投标人公章作为证明材料。</w:t>
      </w:r>
    </w:p>
    <w:p w14:paraId="26FD83FA">
      <w:pPr>
        <w:ind w:firstLine="420" w:firstLineChars="200"/>
        <w:rPr>
          <w:rFonts w:hint="eastAsia" w:ascii="宋体" w:hAnsi="宋体" w:cs="宋体"/>
          <w:color w:val="auto"/>
          <w:szCs w:val="21"/>
        </w:rPr>
      </w:pPr>
      <w:r>
        <w:rPr>
          <w:rFonts w:hint="eastAsia" w:ascii="宋体" w:hAnsi="宋体" w:cs="宋体"/>
          <w:color w:val="auto"/>
          <w:szCs w:val="21"/>
          <w:lang w:val="en-US" w:eastAsia="zh-CN"/>
        </w:rPr>
        <w:t xml:space="preserve">附表  </w:t>
      </w:r>
      <w:r>
        <w:rPr>
          <w:rFonts w:hint="eastAsia" w:ascii="宋体" w:hAnsi="宋体" w:cs="宋体"/>
          <w:color w:val="auto"/>
          <w:szCs w:val="21"/>
        </w:rPr>
        <w:t>同类采购项目历史成交信息</w:t>
      </w:r>
      <w:r>
        <w:rPr>
          <w:rFonts w:hint="eastAsia" w:ascii="宋体" w:hAnsi="宋体" w:cs="宋体"/>
          <w:i/>
          <w:iCs/>
          <w:color w:val="auto"/>
          <w:szCs w:val="21"/>
        </w:rPr>
        <w:t>（调查应当选择真实、有效的信息，信息来源应当有依据且符合当前市场实际情况，不得随意编造。</w:t>
      </w:r>
      <w:r>
        <w:rPr>
          <w:rFonts w:hint="eastAsia" w:ascii="宋体" w:hAnsi="宋体" w:cs="宋体"/>
          <w:color w:val="auto"/>
          <w:szCs w:val="21"/>
        </w:rPr>
        <w:t>）</w:t>
      </w:r>
    </w:p>
    <w:tbl>
      <w:tblPr>
        <w:tblStyle w:val="5"/>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764"/>
        <w:gridCol w:w="1062"/>
        <w:gridCol w:w="1004"/>
        <w:gridCol w:w="991"/>
        <w:gridCol w:w="877"/>
        <w:gridCol w:w="878"/>
        <w:gridCol w:w="1033"/>
        <w:gridCol w:w="851"/>
        <w:gridCol w:w="1065"/>
      </w:tblGrid>
      <w:tr w14:paraId="59C3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51" w:type="dxa"/>
            <w:vAlign w:val="center"/>
          </w:tcPr>
          <w:p w14:paraId="06E3E962">
            <w:pPr>
              <w:jc w:val="center"/>
              <w:rPr>
                <w:rFonts w:hint="eastAsia" w:ascii="宋体" w:hAnsi="宋体" w:eastAsia="宋体" w:cs="宋体"/>
                <w:b w:val="0"/>
                <w:bCs w:val="0"/>
                <w:color w:val="auto"/>
                <w:sz w:val="18"/>
                <w:szCs w:val="16"/>
              </w:rPr>
            </w:pPr>
            <w:r>
              <w:rPr>
                <w:rFonts w:hint="eastAsia" w:ascii="宋体" w:hAnsi="宋体" w:eastAsia="宋体" w:cs="宋体"/>
                <w:b w:val="0"/>
                <w:bCs w:val="0"/>
                <w:color w:val="auto"/>
                <w:sz w:val="18"/>
                <w:szCs w:val="16"/>
              </w:rPr>
              <w:t>序号</w:t>
            </w:r>
          </w:p>
        </w:tc>
        <w:tc>
          <w:tcPr>
            <w:tcW w:w="764" w:type="dxa"/>
            <w:vAlign w:val="center"/>
          </w:tcPr>
          <w:p w14:paraId="7CE3B0E2">
            <w:pPr>
              <w:jc w:val="center"/>
              <w:rPr>
                <w:rFonts w:hint="eastAsia" w:ascii="宋体" w:hAnsi="宋体" w:eastAsia="宋体" w:cs="宋体"/>
                <w:b w:val="0"/>
                <w:bCs w:val="0"/>
                <w:color w:val="auto"/>
                <w:sz w:val="18"/>
                <w:szCs w:val="16"/>
              </w:rPr>
            </w:pPr>
            <w:r>
              <w:rPr>
                <w:rFonts w:hint="eastAsia" w:ascii="宋体" w:hAnsi="宋体" w:eastAsia="宋体" w:cs="宋体"/>
                <w:b w:val="0"/>
                <w:bCs w:val="0"/>
                <w:color w:val="auto"/>
                <w:sz w:val="18"/>
                <w:szCs w:val="16"/>
              </w:rPr>
              <w:t>采购人</w:t>
            </w:r>
          </w:p>
        </w:tc>
        <w:tc>
          <w:tcPr>
            <w:tcW w:w="1062" w:type="dxa"/>
            <w:vAlign w:val="center"/>
          </w:tcPr>
          <w:p w14:paraId="3CAF0993">
            <w:pPr>
              <w:jc w:val="center"/>
              <w:rPr>
                <w:rFonts w:hint="eastAsia" w:ascii="宋体" w:hAnsi="宋体" w:eastAsia="宋体" w:cs="宋体"/>
                <w:b w:val="0"/>
                <w:bCs w:val="0"/>
                <w:color w:val="auto"/>
                <w:sz w:val="18"/>
                <w:szCs w:val="16"/>
              </w:rPr>
            </w:pPr>
            <w:r>
              <w:rPr>
                <w:rFonts w:hint="eastAsia" w:ascii="宋体" w:hAnsi="宋体" w:eastAsia="宋体" w:cs="宋体"/>
                <w:b w:val="0"/>
                <w:bCs w:val="0"/>
                <w:color w:val="auto"/>
                <w:sz w:val="18"/>
                <w:szCs w:val="16"/>
              </w:rPr>
              <w:t>项目名称</w:t>
            </w:r>
          </w:p>
        </w:tc>
        <w:tc>
          <w:tcPr>
            <w:tcW w:w="1004" w:type="dxa"/>
            <w:vAlign w:val="center"/>
          </w:tcPr>
          <w:p w14:paraId="435E375B">
            <w:pPr>
              <w:jc w:val="center"/>
              <w:rPr>
                <w:rFonts w:hint="eastAsia" w:ascii="宋体" w:hAnsi="宋体" w:eastAsia="宋体" w:cs="宋体"/>
                <w:b w:val="0"/>
                <w:bCs w:val="0"/>
                <w:color w:val="auto"/>
                <w:sz w:val="18"/>
                <w:szCs w:val="16"/>
              </w:rPr>
            </w:pPr>
            <w:r>
              <w:rPr>
                <w:rFonts w:hint="eastAsia" w:ascii="宋体" w:hAnsi="宋体" w:eastAsia="宋体" w:cs="宋体"/>
                <w:b w:val="0"/>
                <w:bCs w:val="0"/>
                <w:color w:val="auto"/>
                <w:sz w:val="18"/>
                <w:szCs w:val="16"/>
              </w:rPr>
              <w:t>项目预算</w:t>
            </w:r>
          </w:p>
        </w:tc>
        <w:tc>
          <w:tcPr>
            <w:tcW w:w="991" w:type="dxa"/>
            <w:vAlign w:val="center"/>
          </w:tcPr>
          <w:p w14:paraId="7AF1A70C">
            <w:pPr>
              <w:jc w:val="center"/>
              <w:rPr>
                <w:rFonts w:hint="eastAsia" w:ascii="宋体" w:hAnsi="宋体" w:eastAsia="宋体" w:cs="宋体"/>
                <w:b w:val="0"/>
                <w:bCs w:val="0"/>
                <w:color w:val="auto"/>
                <w:sz w:val="18"/>
                <w:szCs w:val="16"/>
                <w:lang w:val="en-US" w:eastAsia="zh-CN"/>
              </w:rPr>
            </w:pPr>
            <w:r>
              <w:rPr>
                <w:rFonts w:hint="eastAsia" w:ascii="宋体" w:hAnsi="宋体" w:eastAsia="宋体" w:cs="宋体"/>
                <w:b w:val="0"/>
                <w:bCs w:val="0"/>
                <w:color w:val="auto"/>
                <w:sz w:val="18"/>
                <w:szCs w:val="16"/>
                <w:lang w:val="en-US" w:eastAsia="zh-CN"/>
              </w:rPr>
              <w:t>合同金额</w:t>
            </w:r>
          </w:p>
        </w:tc>
        <w:tc>
          <w:tcPr>
            <w:tcW w:w="877" w:type="dxa"/>
            <w:vAlign w:val="center"/>
          </w:tcPr>
          <w:p w14:paraId="65347BCF">
            <w:pPr>
              <w:jc w:val="center"/>
              <w:rPr>
                <w:rFonts w:hint="eastAsia" w:ascii="宋体" w:hAnsi="宋体" w:eastAsia="宋体" w:cs="宋体"/>
                <w:b w:val="0"/>
                <w:bCs w:val="0"/>
                <w:color w:val="auto"/>
                <w:sz w:val="18"/>
                <w:szCs w:val="16"/>
              </w:rPr>
            </w:pPr>
            <w:r>
              <w:rPr>
                <w:rFonts w:hint="eastAsia" w:ascii="宋体" w:hAnsi="宋体" w:eastAsia="宋体" w:cs="宋体"/>
                <w:b w:val="0"/>
                <w:bCs w:val="0"/>
                <w:color w:val="auto"/>
                <w:sz w:val="18"/>
                <w:szCs w:val="16"/>
              </w:rPr>
              <w:t>中标人</w:t>
            </w:r>
          </w:p>
        </w:tc>
        <w:tc>
          <w:tcPr>
            <w:tcW w:w="878" w:type="dxa"/>
            <w:vAlign w:val="center"/>
          </w:tcPr>
          <w:p w14:paraId="7BA16428">
            <w:pPr>
              <w:jc w:val="center"/>
              <w:rPr>
                <w:rFonts w:hint="eastAsia" w:ascii="宋体" w:hAnsi="宋体" w:eastAsia="宋体" w:cs="宋体"/>
                <w:b w:val="0"/>
                <w:bCs w:val="0"/>
                <w:color w:val="auto"/>
                <w:sz w:val="18"/>
                <w:szCs w:val="16"/>
                <w:lang w:val="en-US" w:eastAsia="zh-CN"/>
              </w:rPr>
            </w:pPr>
            <w:r>
              <w:rPr>
                <w:rFonts w:hint="eastAsia" w:ascii="宋体" w:hAnsi="宋体" w:eastAsia="宋体" w:cs="宋体"/>
                <w:b w:val="0"/>
                <w:bCs w:val="0"/>
                <w:color w:val="auto"/>
                <w:sz w:val="18"/>
                <w:szCs w:val="16"/>
                <w:lang w:val="en-US" w:eastAsia="zh-CN"/>
              </w:rPr>
              <w:t>中标价</w:t>
            </w:r>
          </w:p>
        </w:tc>
        <w:tc>
          <w:tcPr>
            <w:tcW w:w="1033" w:type="dxa"/>
            <w:vAlign w:val="center"/>
          </w:tcPr>
          <w:p w14:paraId="36A9FF44">
            <w:pPr>
              <w:jc w:val="center"/>
              <w:rPr>
                <w:rFonts w:hint="eastAsia" w:ascii="宋体" w:hAnsi="宋体" w:eastAsia="宋体" w:cs="宋体"/>
                <w:b w:val="0"/>
                <w:bCs w:val="0"/>
                <w:color w:val="auto"/>
                <w:sz w:val="18"/>
                <w:szCs w:val="16"/>
                <w:lang w:val="en-US" w:eastAsia="zh-CN"/>
              </w:rPr>
            </w:pPr>
            <w:r>
              <w:rPr>
                <w:rFonts w:hint="eastAsia" w:ascii="宋体" w:hAnsi="宋体" w:eastAsia="宋体" w:cs="宋体"/>
                <w:b w:val="0"/>
                <w:bCs w:val="0"/>
                <w:color w:val="auto"/>
                <w:sz w:val="18"/>
                <w:szCs w:val="16"/>
                <w:lang w:val="en-US" w:eastAsia="zh-CN"/>
              </w:rPr>
              <w:t>中标时间</w:t>
            </w:r>
          </w:p>
        </w:tc>
        <w:tc>
          <w:tcPr>
            <w:tcW w:w="851" w:type="dxa"/>
            <w:vAlign w:val="center"/>
          </w:tcPr>
          <w:p w14:paraId="0D2F3912">
            <w:pPr>
              <w:jc w:val="center"/>
              <w:rPr>
                <w:rFonts w:hint="eastAsia" w:ascii="宋体" w:hAnsi="宋体" w:eastAsia="宋体" w:cs="宋体"/>
                <w:b w:val="0"/>
                <w:bCs w:val="0"/>
                <w:color w:val="auto"/>
                <w:sz w:val="18"/>
                <w:szCs w:val="16"/>
                <w:lang w:val="en-US" w:eastAsia="zh-CN"/>
              </w:rPr>
            </w:pPr>
            <w:r>
              <w:rPr>
                <w:rFonts w:hint="eastAsia" w:ascii="宋体" w:hAnsi="宋体" w:eastAsia="宋体" w:cs="宋体"/>
                <w:b w:val="0"/>
                <w:bCs w:val="0"/>
                <w:color w:val="auto"/>
                <w:sz w:val="18"/>
                <w:szCs w:val="16"/>
                <w:lang w:val="en-US" w:eastAsia="zh-CN"/>
              </w:rPr>
              <w:t>证明人</w:t>
            </w:r>
          </w:p>
        </w:tc>
        <w:tc>
          <w:tcPr>
            <w:tcW w:w="1065" w:type="dxa"/>
            <w:vAlign w:val="center"/>
          </w:tcPr>
          <w:p w14:paraId="3EA64B32">
            <w:pPr>
              <w:jc w:val="center"/>
              <w:rPr>
                <w:rFonts w:hint="eastAsia" w:ascii="宋体" w:hAnsi="宋体" w:eastAsia="宋体" w:cs="宋体"/>
                <w:b w:val="0"/>
                <w:bCs w:val="0"/>
                <w:color w:val="auto"/>
                <w:sz w:val="18"/>
                <w:szCs w:val="16"/>
                <w:lang w:val="en-US" w:eastAsia="zh-CN"/>
              </w:rPr>
            </w:pPr>
            <w:r>
              <w:rPr>
                <w:rFonts w:hint="eastAsia" w:ascii="宋体" w:hAnsi="宋体" w:eastAsia="宋体" w:cs="宋体"/>
                <w:b w:val="0"/>
                <w:bCs w:val="0"/>
                <w:color w:val="auto"/>
                <w:sz w:val="18"/>
                <w:szCs w:val="16"/>
                <w:lang w:val="en-US" w:eastAsia="zh-CN"/>
              </w:rPr>
              <w:t>联系电话</w:t>
            </w:r>
          </w:p>
        </w:tc>
      </w:tr>
      <w:tr w14:paraId="4A53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1" w:type="dxa"/>
            <w:vAlign w:val="center"/>
          </w:tcPr>
          <w:p w14:paraId="0FDE1371">
            <w:pPr>
              <w:jc w:val="center"/>
              <w:rPr>
                <w:rFonts w:ascii="仿宋" w:hAnsi="仿宋" w:eastAsia="仿宋"/>
                <w:color w:val="auto"/>
                <w:sz w:val="18"/>
                <w:szCs w:val="16"/>
              </w:rPr>
            </w:pPr>
          </w:p>
        </w:tc>
        <w:tc>
          <w:tcPr>
            <w:tcW w:w="764" w:type="dxa"/>
            <w:vAlign w:val="center"/>
          </w:tcPr>
          <w:p w14:paraId="3E411846">
            <w:pPr>
              <w:jc w:val="center"/>
              <w:rPr>
                <w:rFonts w:ascii="仿宋" w:hAnsi="仿宋" w:eastAsia="仿宋"/>
                <w:color w:val="auto"/>
                <w:sz w:val="18"/>
                <w:szCs w:val="16"/>
              </w:rPr>
            </w:pPr>
          </w:p>
        </w:tc>
        <w:tc>
          <w:tcPr>
            <w:tcW w:w="1062" w:type="dxa"/>
            <w:vAlign w:val="center"/>
          </w:tcPr>
          <w:p w14:paraId="571E38ED">
            <w:pPr>
              <w:jc w:val="center"/>
              <w:rPr>
                <w:rFonts w:ascii="仿宋" w:hAnsi="仿宋" w:eastAsia="仿宋"/>
                <w:color w:val="auto"/>
                <w:sz w:val="18"/>
                <w:szCs w:val="16"/>
              </w:rPr>
            </w:pPr>
          </w:p>
        </w:tc>
        <w:tc>
          <w:tcPr>
            <w:tcW w:w="1004" w:type="dxa"/>
            <w:vAlign w:val="center"/>
          </w:tcPr>
          <w:p w14:paraId="4775F2CC">
            <w:pPr>
              <w:jc w:val="center"/>
              <w:rPr>
                <w:rFonts w:ascii="仿宋" w:hAnsi="仿宋" w:eastAsia="仿宋"/>
                <w:color w:val="auto"/>
                <w:sz w:val="18"/>
                <w:szCs w:val="16"/>
              </w:rPr>
            </w:pPr>
          </w:p>
        </w:tc>
        <w:tc>
          <w:tcPr>
            <w:tcW w:w="991" w:type="dxa"/>
            <w:vAlign w:val="center"/>
          </w:tcPr>
          <w:p w14:paraId="18A4D5DA">
            <w:pPr>
              <w:jc w:val="center"/>
              <w:rPr>
                <w:rFonts w:ascii="仿宋" w:hAnsi="仿宋" w:eastAsia="仿宋"/>
                <w:color w:val="auto"/>
                <w:sz w:val="18"/>
                <w:szCs w:val="16"/>
              </w:rPr>
            </w:pPr>
          </w:p>
        </w:tc>
        <w:tc>
          <w:tcPr>
            <w:tcW w:w="877" w:type="dxa"/>
            <w:vAlign w:val="center"/>
          </w:tcPr>
          <w:p w14:paraId="484F359D">
            <w:pPr>
              <w:jc w:val="center"/>
              <w:rPr>
                <w:rFonts w:ascii="仿宋" w:hAnsi="仿宋" w:eastAsia="仿宋"/>
                <w:color w:val="auto"/>
                <w:sz w:val="18"/>
                <w:szCs w:val="16"/>
              </w:rPr>
            </w:pPr>
          </w:p>
        </w:tc>
        <w:tc>
          <w:tcPr>
            <w:tcW w:w="878" w:type="dxa"/>
            <w:vAlign w:val="center"/>
          </w:tcPr>
          <w:p w14:paraId="348F5A14">
            <w:pPr>
              <w:jc w:val="center"/>
              <w:rPr>
                <w:rFonts w:ascii="仿宋" w:hAnsi="仿宋" w:eastAsia="仿宋"/>
                <w:color w:val="auto"/>
                <w:sz w:val="18"/>
                <w:szCs w:val="16"/>
              </w:rPr>
            </w:pPr>
          </w:p>
        </w:tc>
        <w:tc>
          <w:tcPr>
            <w:tcW w:w="1033" w:type="dxa"/>
            <w:vAlign w:val="center"/>
          </w:tcPr>
          <w:p w14:paraId="62DA30AA">
            <w:pPr>
              <w:jc w:val="center"/>
              <w:rPr>
                <w:rFonts w:ascii="仿宋" w:hAnsi="仿宋" w:eastAsia="仿宋"/>
                <w:color w:val="auto"/>
                <w:sz w:val="18"/>
                <w:szCs w:val="16"/>
              </w:rPr>
            </w:pPr>
          </w:p>
        </w:tc>
        <w:tc>
          <w:tcPr>
            <w:tcW w:w="851" w:type="dxa"/>
            <w:vAlign w:val="center"/>
          </w:tcPr>
          <w:p w14:paraId="384743FB">
            <w:pPr>
              <w:jc w:val="center"/>
              <w:rPr>
                <w:rFonts w:ascii="仿宋" w:hAnsi="仿宋" w:eastAsia="仿宋"/>
                <w:color w:val="auto"/>
                <w:sz w:val="18"/>
                <w:szCs w:val="16"/>
              </w:rPr>
            </w:pPr>
          </w:p>
        </w:tc>
        <w:tc>
          <w:tcPr>
            <w:tcW w:w="1065" w:type="dxa"/>
            <w:vAlign w:val="center"/>
          </w:tcPr>
          <w:p w14:paraId="6781A2BE">
            <w:pPr>
              <w:jc w:val="center"/>
              <w:rPr>
                <w:rFonts w:ascii="仿宋" w:hAnsi="仿宋" w:eastAsia="仿宋"/>
                <w:color w:val="auto"/>
                <w:sz w:val="18"/>
                <w:szCs w:val="16"/>
              </w:rPr>
            </w:pPr>
          </w:p>
        </w:tc>
      </w:tr>
      <w:tr w14:paraId="652E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51" w:type="dxa"/>
            <w:vAlign w:val="center"/>
          </w:tcPr>
          <w:p w14:paraId="112DCA73">
            <w:pPr>
              <w:jc w:val="center"/>
              <w:rPr>
                <w:rFonts w:ascii="仿宋" w:hAnsi="仿宋" w:eastAsia="仿宋"/>
                <w:color w:val="auto"/>
                <w:sz w:val="18"/>
                <w:szCs w:val="16"/>
              </w:rPr>
            </w:pPr>
          </w:p>
        </w:tc>
        <w:tc>
          <w:tcPr>
            <w:tcW w:w="764" w:type="dxa"/>
            <w:vAlign w:val="center"/>
          </w:tcPr>
          <w:p w14:paraId="77C2D6DD">
            <w:pPr>
              <w:jc w:val="center"/>
              <w:rPr>
                <w:rFonts w:ascii="仿宋" w:hAnsi="仿宋" w:eastAsia="仿宋"/>
                <w:color w:val="auto"/>
                <w:sz w:val="18"/>
                <w:szCs w:val="16"/>
              </w:rPr>
            </w:pPr>
          </w:p>
        </w:tc>
        <w:tc>
          <w:tcPr>
            <w:tcW w:w="1062" w:type="dxa"/>
            <w:vAlign w:val="center"/>
          </w:tcPr>
          <w:p w14:paraId="5A349EF5">
            <w:pPr>
              <w:jc w:val="center"/>
              <w:rPr>
                <w:rFonts w:ascii="仿宋" w:hAnsi="仿宋" w:eastAsia="仿宋"/>
                <w:color w:val="auto"/>
                <w:sz w:val="18"/>
                <w:szCs w:val="16"/>
              </w:rPr>
            </w:pPr>
          </w:p>
        </w:tc>
        <w:tc>
          <w:tcPr>
            <w:tcW w:w="1004" w:type="dxa"/>
            <w:vAlign w:val="center"/>
          </w:tcPr>
          <w:p w14:paraId="7BAC3DE4">
            <w:pPr>
              <w:jc w:val="center"/>
              <w:rPr>
                <w:rFonts w:ascii="仿宋" w:hAnsi="仿宋" w:eastAsia="仿宋"/>
                <w:color w:val="auto"/>
                <w:sz w:val="18"/>
                <w:szCs w:val="16"/>
              </w:rPr>
            </w:pPr>
          </w:p>
        </w:tc>
        <w:tc>
          <w:tcPr>
            <w:tcW w:w="991" w:type="dxa"/>
            <w:vAlign w:val="center"/>
          </w:tcPr>
          <w:p w14:paraId="58C3195B">
            <w:pPr>
              <w:jc w:val="center"/>
              <w:rPr>
                <w:rFonts w:ascii="仿宋" w:hAnsi="仿宋" w:eastAsia="仿宋"/>
                <w:color w:val="auto"/>
                <w:sz w:val="18"/>
                <w:szCs w:val="16"/>
              </w:rPr>
            </w:pPr>
          </w:p>
        </w:tc>
        <w:tc>
          <w:tcPr>
            <w:tcW w:w="877" w:type="dxa"/>
            <w:vAlign w:val="center"/>
          </w:tcPr>
          <w:p w14:paraId="59BD2F8F">
            <w:pPr>
              <w:jc w:val="center"/>
              <w:rPr>
                <w:rFonts w:ascii="仿宋" w:hAnsi="仿宋" w:eastAsia="仿宋"/>
                <w:color w:val="auto"/>
                <w:sz w:val="18"/>
                <w:szCs w:val="16"/>
              </w:rPr>
            </w:pPr>
          </w:p>
        </w:tc>
        <w:tc>
          <w:tcPr>
            <w:tcW w:w="878" w:type="dxa"/>
            <w:vAlign w:val="center"/>
          </w:tcPr>
          <w:p w14:paraId="2C767D67">
            <w:pPr>
              <w:jc w:val="center"/>
              <w:rPr>
                <w:rFonts w:ascii="仿宋" w:hAnsi="仿宋" w:eastAsia="仿宋"/>
                <w:color w:val="auto"/>
                <w:sz w:val="18"/>
                <w:szCs w:val="16"/>
              </w:rPr>
            </w:pPr>
          </w:p>
        </w:tc>
        <w:tc>
          <w:tcPr>
            <w:tcW w:w="1033" w:type="dxa"/>
            <w:vAlign w:val="center"/>
          </w:tcPr>
          <w:p w14:paraId="63AD4331">
            <w:pPr>
              <w:jc w:val="center"/>
              <w:rPr>
                <w:rFonts w:ascii="仿宋" w:hAnsi="仿宋" w:eastAsia="仿宋"/>
                <w:color w:val="auto"/>
                <w:sz w:val="18"/>
                <w:szCs w:val="16"/>
              </w:rPr>
            </w:pPr>
          </w:p>
        </w:tc>
        <w:tc>
          <w:tcPr>
            <w:tcW w:w="851" w:type="dxa"/>
            <w:vAlign w:val="center"/>
          </w:tcPr>
          <w:p w14:paraId="7BAB581D">
            <w:pPr>
              <w:jc w:val="center"/>
              <w:rPr>
                <w:rFonts w:ascii="仿宋" w:hAnsi="仿宋" w:eastAsia="仿宋"/>
                <w:color w:val="auto"/>
                <w:sz w:val="18"/>
                <w:szCs w:val="16"/>
              </w:rPr>
            </w:pPr>
          </w:p>
        </w:tc>
        <w:tc>
          <w:tcPr>
            <w:tcW w:w="1065" w:type="dxa"/>
            <w:vAlign w:val="center"/>
          </w:tcPr>
          <w:p w14:paraId="09377C90">
            <w:pPr>
              <w:jc w:val="center"/>
              <w:rPr>
                <w:rFonts w:ascii="仿宋" w:hAnsi="仿宋" w:eastAsia="仿宋"/>
                <w:color w:val="auto"/>
                <w:sz w:val="18"/>
                <w:szCs w:val="16"/>
              </w:rPr>
            </w:pPr>
          </w:p>
        </w:tc>
      </w:tr>
      <w:tr w14:paraId="23B2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51" w:type="dxa"/>
            <w:vAlign w:val="center"/>
          </w:tcPr>
          <w:p w14:paraId="0E40A119">
            <w:pPr>
              <w:jc w:val="center"/>
              <w:rPr>
                <w:rFonts w:ascii="仿宋" w:hAnsi="仿宋" w:eastAsia="仿宋"/>
                <w:color w:val="C00000"/>
                <w:sz w:val="18"/>
                <w:szCs w:val="16"/>
              </w:rPr>
            </w:pPr>
          </w:p>
        </w:tc>
        <w:tc>
          <w:tcPr>
            <w:tcW w:w="764" w:type="dxa"/>
            <w:vAlign w:val="center"/>
          </w:tcPr>
          <w:p w14:paraId="34ECFAFB">
            <w:pPr>
              <w:jc w:val="center"/>
              <w:rPr>
                <w:rFonts w:ascii="仿宋" w:hAnsi="仿宋" w:eastAsia="仿宋"/>
                <w:color w:val="C00000"/>
                <w:sz w:val="18"/>
                <w:szCs w:val="16"/>
              </w:rPr>
            </w:pPr>
          </w:p>
        </w:tc>
        <w:tc>
          <w:tcPr>
            <w:tcW w:w="1062" w:type="dxa"/>
            <w:vAlign w:val="center"/>
          </w:tcPr>
          <w:p w14:paraId="3590128A">
            <w:pPr>
              <w:jc w:val="center"/>
              <w:rPr>
                <w:rFonts w:ascii="仿宋" w:hAnsi="仿宋" w:eastAsia="仿宋"/>
                <w:color w:val="C00000"/>
                <w:sz w:val="18"/>
                <w:szCs w:val="16"/>
              </w:rPr>
            </w:pPr>
          </w:p>
        </w:tc>
        <w:tc>
          <w:tcPr>
            <w:tcW w:w="1004" w:type="dxa"/>
            <w:vAlign w:val="center"/>
          </w:tcPr>
          <w:p w14:paraId="1B37A06B">
            <w:pPr>
              <w:jc w:val="center"/>
              <w:rPr>
                <w:rFonts w:ascii="仿宋" w:hAnsi="仿宋" w:eastAsia="仿宋"/>
                <w:color w:val="C00000"/>
                <w:sz w:val="18"/>
                <w:szCs w:val="16"/>
              </w:rPr>
            </w:pPr>
          </w:p>
        </w:tc>
        <w:tc>
          <w:tcPr>
            <w:tcW w:w="991" w:type="dxa"/>
            <w:vAlign w:val="center"/>
          </w:tcPr>
          <w:p w14:paraId="6F8F995A">
            <w:pPr>
              <w:jc w:val="center"/>
              <w:rPr>
                <w:rFonts w:ascii="仿宋" w:hAnsi="仿宋" w:eastAsia="仿宋"/>
                <w:color w:val="C00000"/>
                <w:sz w:val="18"/>
                <w:szCs w:val="16"/>
              </w:rPr>
            </w:pPr>
          </w:p>
        </w:tc>
        <w:tc>
          <w:tcPr>
            <w:tcW w:w="877" w:type="dxa"/>
            <w:vAlign w:val="center"/>
          </w:tcPr>
          <w:p w14:paraId="409D0D1A">
            <w:pPr>
              <w:jc w:val="center"/>
              <w:rPr>
                <w:rFonts w:ascii="仿宋" w:hAnsi="仿宋" w:eastAsia="仿宋"/>
                <w:color w:val="C00000"/>
                <w:sz w:val="18"/>
                <w:szCs w:val="16"/>
              </w:rPr>
            </w:pPr>
          </w:p>
        </w:tc>
        <w:tc>
          <w:tcPr>
            <w:tcW w:w="878" w:type="dxa"/>
            <w:vAlign w:val="center"/>
          </w:tcPr>
          <w:p w14:paraId="42DEEC37">
            <w:pPr>
              <w:jc w:val="center"/>
              <w:rPr>
                <w:rFonts w:ascii="仿宋" w:hAnsi="仿宋" w:eastAsia="仿宋"/>
                <w:color w:val="C00000"/>
                <w:sz w:val="18"/>
                <w:szCs w:val="16"/>
              </w:rPr>
            </w:pPr>
          </w:p>
        </w:tc>
        <w:tc>
          <w:tcPr>
            <w:tcW w:w="1033" w:type="dxa"/>
            <w:vAlign w:val="center"/>
          </w:tcPr>
          <w:p w14:paraId="40FE70C0">
            <w:pPr>
              <w:jc w:val="center"/>
              <w:rPr>
                <w:rFonts w:ascii="仿宋" w:hAnsi="仿宋" w:eastAsia="仿宋"/>
                <w:color w:val="C00000"/>
                <w:sz w:val="18"/>
                <w:szCs w:val="16"/>
              </w:rPr>
            </w:pPr>
          </w:p>
        </w:tc>
        <w:tc>
          <w:tcPr>
            <w:tcW w:w="851" w:type="dxa"/>
            <w:vAlign w:val="center"/>
          </w:tcPr>
          <w:p w14:paraId="3C857A49">
            <w:pPr>
              <w:jc w:val="center"/>
              <w:rPr>
                <w:rFonts w:ascii="仿宋" w:hAnsi="仿宋" w:eastAsia="仿宋"/>
                <w:color w:val="C00000"/>
                <w:sz w:val="18"/>
                <w:szCs w:val="16"/>
              </w:rPr>
            </w:pPr>
          </w:p>
        </w:tc>
        <w:tc>
          <w:tcPr>
            <w:tcW w:w="1065" w:type="dxa"/>
            <w:vAlign w:val="center"/>
          </w:tcPr>
          <w:p w14:paraId="3316B987">
            <w:pPr>
              <w:jc w:val="center"/>
              <w:rPr>
                <w:rFonts w:ascii="仿宋" w:hAnsi="仿宋" w:eastAsia="仿宋"/>
                <w:color w:val="C00000"/>
                <w:sz w:val="18"/>
                <w:szCs w:val="16"/>
              </w:rPr>
            </w:pPr>
          </w:p>
        </w:tc>
      </w:tr>
    </w:tbl>
    <w:p w14:paraId="3D5A3F95">
      <w:pPr>
        <w:ind w:firstLine="420" w:firstLineChars="200"/>
        <w:rPr>
          <w:rFonts w:hint="eastAsia" w:ascii="宋体" w:hAnsi="宋体" w:cs="宋体"/>
          <w:szCs w:val="21"/>
        </w:rPr>
      </w:pPr>
    </w:p>
    <w:p w14:paraId="15929CFA">
      <w:pPr>
        <w:rPr>
          <w:rFonts w:hint="eastAsia" w:ascii="黑体" w:hAnsi="黑体" w:eastAsia="黑体" w:cs="黑体"/>
          <w:b/>
          <w:bCs/>
          <w:spacing w:val="-15"/>
          <w:sz w:val="22"/>
        </w:rPr>
      </w:pPr>
      <w:r>
        <w:rPr>
          <w:rFonts w:hint="eastAsia" w:ascii="黑体" w:hAnsi="黑体" w:eastAsia="黑体" w:cs="黑体"/>
          <w:b/>
          <w:bCs/>
          <w:spacing w:val="-15"/>
          <w:sz w:val="22"/>
        </w:rPr>
        <w:t>六 报价要求</w:t>
      </w:r>
    </w:p>
    <w:p w14:paraId="592697ED">
      <w:pPr>
        <w:ind w:firstLine="420" w:firstLineChars="200"/>
        <w:rPr>
          <w:rFonts w:hint="eastAsia" w:ascii="宋体" w:hAnsi="宋体" w:eastAsia="宋体" w:cs="宋体"/>
          <w:color w:val="auto"/>
          <w:szCs w:val="21"/>
          <w:lang w:eastAsia="zh-CN"/>
        </w:rPr>
      </w:pPr>
      <w:r>
        <w:rPr>
          <w:rFonts w:hint="eastAsia" w:ascii="宋体" w:hAnsi="宋体" w:cs="宋体"/>
          <w:szCs w:val="21"/>
          <w:highlight w:val="none"/>
          <w:lang w:val="en-US" w:eastAsia="zh-CN"/>
        </w:rPr>
        <w:t>1.根据本中心以往数据预估本项目</w:t>
      </w:r>
      <w:r>
        <w:rPr>
          <w:rFonts w:hint="eastAsia" w:ascii="宋体" w:hAnsi="宋体" w:cs="宋体"/>
          <w:color w:val="auto"/>
          <w:szCs w:val="21"/>
          <w:highlight w:val="none"/>
          <w:lang w:val="en-US" w:eastAsia="zh-CN"/>
        </w:rPr>
        <w:t>采购量约1000万/年，合同期三年，</w:t>
      </w:r>
      <w:r>
        <w:rPr>
          <w:rFonts w:hint="eastAsia" w:ascii="宋体" w:hAnsi="宋体" w:cs="宋体"/>
          <w:color w:val="auto"/>
          <w:szCs w:val="21"/>
          <w:highlight w:val="none"/>
          <w:lang w:val="en-US" w:eastAsia="zh-CN"/>
        </w:rPr>
        <w:t>本项目服务的总数量为预估，以合同期内实际采购量为准，采购人不保证最低采购数量</w:t>
      </w:r>
      <w:r>
        <w:rPr>
          <w:rFonts w:hint="eastAsia" w:ascii="宋体" w:hAnsi="宋体" w:cs="宋体"/>
          <w:color w:val="auto"/>
          <w:szCs w:val="21"/>
          <w:lang w:eastAsia="zh-CN"/>
        </w:rPr>
        <w:t>。</w:t>
      </w:r>
    </w:p>
    <w:p w14:paraId="182DFC4D">
      <w:pPr>
        <w:ind w:firstLine="420" w:firstLineChars="200"/>
        <w:rPr>
          <w:rFonts w:hint="eastAsia"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投标报价包括但不限于：完成本次招标所有服务内容的费用，包括人工费、检测费、材料费、设备使用费、系统接口费、项目宣传费、物流运输费、采样耗材费、各种税务费及合同实施过程中不可预见费用等全部费用。</w:t>
      </w:r>
      <w:bookmarkStart w:id="0" w:name="_GoBack"/>
      <w:bookmarkEnd w:id="0"/>
    </w:p>
    <w:p w14:paraId="1CA19150">
      <w:pPr>
        <w:ind w:firstLine="420" w:firstLineChars="200"/>
        <w:rPr>
          <w:rFonts w:hint="eastAsia" w:ascii="宋体" w:hAnsi="宋体" w:cs="宋体"/>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请</w:t>
      </w:r>
      <w:r>
        <w:rPr>
          <w:rFonts w:hint="eastAsia" w:ascii="宋体" w:hAnsi="宋体" w:cs="宋体"/>
          <w:color w:val="auto"/>
          <w:szCs w:val="21"/>
          <w:lang w:val="en-US" w:eastAsia="zh-CN"/>
        </w:rPr>
        <w:t>投标人</w:t>
      </w:r>
      <w:r>
        <w:rPr>
          <w:rFonts w:hint="eastAsia" w:ascii="宋体" w:hAnsi="宋体" w:cs="宋体"/>
          <w:color w:val="auto"/>
          <w:szCs w:val="21"/>
        </w:rPr>
        <w:t>就</w:t>
      </w:r>
      <w:r>
        <w:rPr>
          <w:rFonts w:hint="eastAsia" w:ascii="宋体" w:hAnsi="宋体" w:cs="宋体"/>
          <w:color w:val="auto"/>
          <w:szCs w:val="21"/>
          <w:lang w:val="en-US" w:eastAsia="zh-CN"/>
        </w:rPr>
        <w:t>本</w:t>
      </w:r>
      <w:r>
        <w:rPr>
          <w:rFonts w:hint="eastAsia" w:ascii="宋体" w:hAnsi="宋体" w:cs="宋体"/>
          <w:color w:val="auto"/>
          <w:szCs w:val="21"/>
        </w:rPr>
        <w:t>项目</w:t>
      </w:r>
      <w:r>
        <w:rPr>
          <w:rFonts w:hint="eastAsia" w:ascii="宋体" w:hAnsi="宋体" w:cs="宋体"/>
          <w:color w:val="auto"/>
          <w:szCs w:val="21"/>
          <w:lang w:val="en-US" w:eastAsia="zh-CN"/>
        </w:rPr>
        <w:t>提供的检测项目列表分别</w:t>
      </w:r>
      <w:r>
        <w:rPr>
          <w:rFonts w:hint="eastAsia" w:ascii="宋体" w:hAnsi="宋体" w:cs="宋体"/>
          <w:color w:val="auto"/>
          <w:szCs w:val="21"/>
        </w:rPr>
        <w:t>进行报价</w:t>
      </w:r>
      <w:r>
        <w:rPr>
          <w:rFonts w:hint="eastAsia" w:ascii="宋体" w:hAnsi="宋体" w:cs="宋体"/>
          <w:color w:val="auto"/>
          <w:szCs w:val="21"/>
          <w:lang w:eastAsia="zh-CN"/>
        </w:rPr>
        <w:t>（</w:t>
      </w:r>
      <w:r>
        <w:rPr>
          <w:rFonts w:hint="eastAsia" w:ascii="宋体" w:hAnsi="宋体" w:cs="宋体"/>
          <w:color w:val="auto"/>
          <w:szCs w:val="21"/>
          <w:lang w:val="en-US" w:eastAsia="zh-CN"/>
        </w:rPr>
        <w:t>单位：元/例</w:t>
      </w:r>
      <w:r>
        <w:rPr>
          <w:rFonts w:hint="eastAsia" w:ascii="宋体" w:hAnsi="宋体" w:cs="宋体"/>
          <w:color w:val="auto"/>
          <w:szCs w:val="21"/>
          <w:lang w:eastAsia="zh-CN"/>
        </w:rPr>
        <w:t>）</w:t>
      </w:r>
      <w:r>
        <w:rPr>
          <w:rFonts w:hint="eastAsia" w:ascii="宋体" w:hAnsi="宋体" w:cs="宋体"/>
          <w:szCs w:val="21"/>
        </w:rPr>
        <w:t>。</w:t>
      </w:r>
    </w:p>
    <w:sectPr>
      <w:pgSz w:w="11906" w:h="16838"/>
      <w:pgMar w:top="1440" w:right="1797" w:bottom="1440" w:left="1797"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5D8C8C"/>
    <w:multiLevelType w:val="singleLevel"/>
    <w:tmpl w:val="195D8C8C"/>
    <w:lvl w:ilvl="0" w:tentative="0">
      <w:start w:val="4"/>
      <w:numFmt w:val="chineseCounting"/>
      <w:suff w:val="nothing"/>
      <w:lvlText w:val="（%1）"/>
      <w:lvlJc w:val="left"/>
      <w:rPr>
        <w:rFonts w:hint="eastAsia"/>
      </w:rPr>
    </w:lvl>
  </w:abstractNum>
  <w:abstractNum w:abstractNumId="1">
    <w:nsid w:val="698A2A6E"/>
    <w:multiLevelType w:val="multilevel"/>
    <w:tmpl w:val="698A2A6E"/>
    <w:lvl w:ilvl="0" w:tentative="0">
      <w:start w:val="1"/>
      <w:numFmt w:val="japaneseCounting"/>
      <w:lvlText w:val="%1、"/>
      <w:lvlJc w:val="left"/>
      <w:pPr>
        <w:ind w:left="1102" w:hanging="720"/>
      </w:pPr>
      <w:rPr>
        <w:rFonts w:hint="default"/>
      </w:rPr>
    </w:lvl>
    <w:lvl w:ilvl="1" w:tentative="0">
      <w:start w:val="1"/>
      <w:numFmt w:val="lowerLetter"/>
      <w:lvlText w:val="%2)"/>
      <w:lvlJc w:val="left"/>
      <w:pPr>
        <w:ind w:left="1222" w:hanging="420"/>
      </w:pPr>
    </w:lvl>
    <w:lvl w:ilvl="2" w:tentative="0">
      <w:start w:val="1"/>
      <w:numFmt w:val="lowerRoman"/>
      <w:lvlText w:val="%3."/>
      <w:lvlJc w:val="right"/>
      <w:pPr>
        <w:ind w:left="1642" w:hanging="420"/>
      </w:pPr>
    </w:lvl>
    <w:lvl w:ilvl="3" w:tentative="0">
      <w:start w:val="1"/>
      <w:numFmt w:val="decimal"/>
      <w:lvlText w:val="%4."/>
      <w:lvlJc w:val="left"/>
      <w:pPr>
        <w:ind w:left="2062" w:hanging="420"/>
      </w:pPr>
    </w:lvl>
    <w:lvl w:ilvl="4" w:tentative="0">
      <w:start w:val="1"/>
      <w:numFmt w:val="lowerLetter"/>
      <w:lvlText w:val="%5)"/>
      <w:lvlJc w:val="left"/>
      <w:pPr>
        <w:ind w:left="2482" w:hanging="420"/>
      </w:pPr>
    </w:lvl>
    <w:lvl w:ilvl="5" w:tentative="0">
      <w:start w:val="1"/>
      <w:numFmt w:val="lowerRoman"/>
      <w:lvlText w:val="%6."/>
      <w:lvlJc w:val="right"/>
      <w:pPr>
        <w:ind w:left="2902" w:hanging="420"/>
      </w:pPr>
    </w:lvl>
    <w:lvl w:ilvl="6" w:tentative="0">
      <w:start w:val="1"/>
      <w:numFmt w:val="decimal"/>
      <w:lvlText w:val="%7."/>
      <w:lvlJc w:val="left"/>
      <w:pPr>
        <w:ind w:left="3322" w:hanging="420"/>
      </w:pPr>
    </w:lvl>
    <w:lvl w:ilvl="7" w:tentative="0">
      <w:start w:val="1"/>
      <w:numFmt w:val="lowerLetter"/>
      <w:lvlText w:val="%8)"/>
      <w:lvlJc w:val="left"/>
      <w:pPr>
        <w:ind w:left="3742" w:hanging="420"/>
      </w:pPr>
    </w:lvl>
    <w:lvl w:ilvl="8" w:tentative="0">
      <w:start w:val="1"/>
      <w:numFmt w:val="lowerRoman"/>
      <w:lvlText w:val="%9."/>
      <w:lvlJc w:val="right"/>
      <w:pPr>
        <w:ind w:left="41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95A6527"/>
    <w:rsid w:val="00305CE7"/>
    <w:rsid w:val="007C0F2D"/>
    <w:rsid w:val="012D66CB"/>
    <w:rsid w:val="01523018"/>
    <w:rsid w:val="030D0562"/>
    <w:rsid w:val="04B2398B"/>
    <w:rsid w:val="050F542E"/>
    <w:rsid w:val="061834A6"/>
    <w:rsid w:val="06AC0092"/>
    <w:rsid w:val="07965CAB"/>
    <w:rsid w:val="07F817E1"/>
    <w:rsid w:val="095A6527"/>
    <w:rsid w:val="096B722E"/>
    <w:rsid w:val="0994433E"/>
    <w:rsid w:val="0B6251C3"/>
    <w:rsid w:val="0C1B3109"/>
    <w:rsid w:val="0D3A63F7"/>
    <w:rsid w:val="10BE7687"/>
    <w:rsid w:val="10FB5D6E"/>
    <w:rsid w:val="12993CD3"/>
    <w:rsid w:val="12D9220E"/>
    <w:rsid w:val="13BC7845"/>
    <w:rsid w:val="14776934"/>
    <w:rsid w:val="16467BBB"/>
    <w:rsid w:val="16D67FAF"/>
    <w:rsid w:val="178A1F00"/>
    <w:rsid w:val="19F93084"/>
    <w:rsid w:val="1A1E58E2"/>
    <w:rsid w:val="1BC577D4"/>
    <w:rsid w:val="1C2932F0"/>
    <w:rsid w:val="1D2C098E"/>
    <w:rsid w:val="1D8568B1"/>
    <w:rsid w:val="20A577C3"/>
    <w:rsid w:val="215A276C"/>
    <w:rsid w:val="21B76D44"/>
    <w:rsid w:val="22F34B5D"/>
    <w:rsid w:val="23812740"/>
    <w:rsid w:val="265F25D3"/>
    <w:rsid w:val="27606603"/>
    <w:rsid w:val="29656152"/>
    <w:rsid w:val="2B856638"/>
    <w:rsid w:val="2B980F11"/>
    <w:rsid w:val="2CF11644"/>
    <w:rsid w:val="2CFB18D4"/>
    <w:rsid w:val="2D6A01DB"/>
    <w:rsid w:val="2E165C6D"/>
    <w:rsid w:val="30455A79"/>
    <w:rsid w:val="317F3B29"/>
    <w:rsid w:val="31CA1248"/>
    <w:rsid w:val="32AC3479"/>
    <w:rsid w:val="33DC0380"/>
    <w:rsid w:val="34F12F90"/>
    <w:rsid w:val="35487054"/>
    <w:rsid w:val="369A1D52"/>
    <w:rsid w:val="36CA5847"/>
    <w:rsid w:val="384004B6"/>
    <w:rsid w:val="393F42CA"/>
    <w:rsid w:val="3A4C0835"/>
    <w:rsid w:val="3A837FA0"/>
    <w:rsid w:val="3A960861"/>
    <w:rsid w:val="3AB17449"/>
    <w:rsid w:val="3B553953"/>
    <w:rsid w:val="3CE81A7C"/>
    <w:rsid w:val="3CF73AAE"/>
    <w:rsid w:val="3D807088"/>
    <w:rsid w:val="3DAC1658"/>
    <w:rsid w:val="3DF24001"/>
    <w:rsid w:val="3EF215A4"/>
    <w:rsid w:val="430766D3"/>
    <w:rsid w:val="43EC2053"/>
    <w:rsid w:val="44290050"/>
    <w:rsid w:val="44EA73A3"/>
    <w:rsid w:val="480C2163"/>
    <w:rsid w:val="49B605D8"/>
    <w:rsid w:val="4BE331DB"/>
    <w:rsid w:val="4E4A5793"/>
    <w:rsid w:val="508C2093"/>
    <w:rsid w:val="5264494A"/>
    <w:rsid w:val="52D1737D"/>
    <w:rsid w:val="558E3572"/>
    <w:rsid w:val="56226FF5"/>
    <w:rsid w:val="56B3737D"/>
    <w:rsid w:val="56D06A51"/>
    <w:rsid w:val="59A91506"/>
    <w:rsid w:val="5ABA15AB"/>
    <w:rsid w:val="5ABA3CA0"/>
    <w:rsid w:val="5B1433B1"/>
    <w:rsid w:val="5C1631F6"/>
    <w:rsid w:val="5D195901"/>
    <w:rsid w:val="5E84084D"/>
    <w:rsid w:val="5F7654A3"/>
    <w:rsid w:val="5FE13A7D"/>
    <w:rsid w:val="5FE35B37"/>
    <w:rsid w:val="60DD4059"/>
    <w:rsid w:val="652131A2"/>
    <w:rsid w:val="65CB4F21"/>
    <w:rsid w:val="66CF3A7D"/>
    <w:rsid w:val="66D4057D"/>
    <w:rsid w:val="66E153D1"/>
    <w:rsid w:val="67D85784"/>
    <w:rsid w:val="69674FF3"/>
    <w:rsid w:val="696C43B8"/>
    <w:rsid w:val="69DE55DD"/>
    <w:rsid w:val="6AE80377"/>
    <w:rsid w:val="6CE11E08"/>
    <w:rsid w:val="6D4D6B50"/>
    <w:rsid w:val="6E4F6056"/>
    <w:rsid w:val="6FB6638D"/>
    <w:rsid w:val="70134132"/>
    <w:rsid w:val="70A22DB5"/>
    <w:rsid w:val="70CC398E"/>
    <w:rsid w:val="710475CC"/>
    <w:rsid w:val="71AB7A47"/>
    <w:rsid w:val="71AD5A0B"/>
    <w:rsid w:val="72671BC0"/>
    <w:rsid w:val="726D6CD9"/>
    <w:rsid w:val="72C559C2"/>
    <w:rsid w:val="7447478D"/>
    <w:rsid w:val="74624D35"/>
    <w:rsid w:val="754A06F9"/>
    <w:rsid w:val="762C4B04"/>
    <w:rsid w:val="768C7E47"/>
    <w:rsid w:val="785B21C7"/>
    <w:rsid w:val="787741D1"/>
    <w:rsid w:val="78941235"/>
    <w:rsid w:val="78A7438D"/>
    <w:rsid w:val="79F20909"/>
    <w:rsid w:val="7B022DCE"/>
    <w:rsid w:val="7C6D4277"/>
    <w:rsid w:val="7D0C3A90"/>
    <w:rsid w:val="7DE20C95"/>
    <w:rsid w:val="7DF64C92"/>
    <w:rsid w:val="7EC00FD6"/>
    <w:rsid w:val="7FC05B1E"/>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pPr>
    <w:rPr>
      <w:rFonts w:ascii="Calibri" w:hAnsi="Calibri" w:eastAsia="宋体" w:cs="Times New Roman"/>
      <w:kern w:val="2"/>
      <w:sz w:val="21"/>
      <w:szCs w:val="22"/>
      <w:lang w:val="en-US" w:eastAsia="zh-CN" w:bidi="ar-SA"/>
    </w:rPr>
  </w:style>
  <w:style w:type="paragraph" w:styleId="2">
    <w:name w:val="heading 3"/>
    <w:basedOn w:val="1"/>
    <w:next w:val="1"/>
    <w:autoRedefine/>
    <w:qFormat/>
    <w:uiPriority w:val="0"/>
    <w:pPr>
      <w:keepNext/>
      <w:outlineLvl w:val="2"/>
    </w:pPr>
    <w:rPr>
      <w:rFonts w:ascii="楷体_GB2312" w:hAnsi="宋体" w:eastAsia="黑体"/>
      <w:b/>
      <w:bCs/>
      <w:sz w:val="32"/>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style>
  <w:style w:type="table" w:styleId="5">
    <w:name w:val="Table Grid"/>
    <w:basedOn w:val="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autoRedefine/>
    <w:qFormat/>
    <w:uiPriority w:val="0"/>
    <w:rPr>
      <w:sz w:val="21"/>
      <w:szCs w:val="21"/>
    </w:rPr>
  </w:style>
  <w:style w:type="paragraph" w:styleId="8">
    <w:name w:val="List Paragraph"/>
    <w:basedOn w:val="1"/>
    <w:autoRedefine/>
    <w:unhideWhenUsed/>
    <w:qFormat/>
    <w:uiPriority w:val="99"/>
    <w:pPr>
      <w:ind w:firstLine="420" w:firstLineChars="200"/>
    </w:pPr>
  </w:style>
  <w:style w:type="paragraph" w:customStyle="1" w:styleId="9">
    <w:name w:val="Table Paragraph"/>
    <w:basedOn w:val="1"/>
    <w:autoRedefine/>
    <w:qFormat/>
    <w:uiPriority w:val="0"/>
    <w:pPr>
      <w:widowControl/>
      <w:spacing w:line="240" w:lineRule="auto"/>
    </w:pPr>
    <w:rPr>
      <w:rFonts w:ascii="宋体" w:hAnsi="宋体" w:cs="宋体"/>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3739</Words>
  <Characters>3986</Characters>
  <Lines>0</Lines>
  <Paragraphs>0</Paragraphs>
  <TotalTime>2</TotalTime>
  <ScaleCrop>false</ScaleCrop>
  <LinksUpToDate>false</LinksUpToDate>
  <CharactersWithSpaces>4065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2022-02-18T01:14:00Z</dcterms:created>
  <dc:creator>TIAMO哟！</dc:creator>
  <cp:lastModifiedBy>陈禹欣</cp:lastModifiedBy>
  <cp:lastPrinted>2024-01-11T11:14:00Z</cp:lastPrinted>
  <dcterms:modified xsi:type="dcterms:W3CDTF">2024-09-14T02:12:39Z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1F1497F7A8E943ADBCB1831AF5E80E79_13</vt:lpwstr>
  </property>
</Properties>
</file>