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318C9">
      <w:pPr>
        <w:pStyle w:val="5"/>
        <w:rPr>
          <w:rFonts w:ascii="Times New Roman"/>
          <w:sz w:val="20"/>
        </w:rPr>
      </w:pPr>
    </w:p>
    <w:p w14:paraId="7BDAA8A0">
      <w:pPr>
        <w:pStyle w:val="5"/>
        <w:rPr>
          <w:rFonts w:ascii="Times New Roman"/>
          <w:sz w:val="20"/>
        </w:rPr>
      </w:pPr>
    </w:p>
    <w:p w14:paraId="1AAC7DC8">
      <w:pPr>
        <w:pStyle w:val="5"/>
        <w:rPr>
          <w:rFonts w:ascii="Times New Roman"/>
          <w:sz w:val="20"/>
        </w:rPr>
      </w:pPr>
    </w:p>
    <w:p w14:paraId="02144FFA">
      <w:pPr>
        <w:pStyle w:val="5"/>
        <w:rPr>
          <w:rFonts w:ascii="Times New Roman"/>
          <w:sz w:val="20"/>
        </w:rPr>
      </w:pPr>
    </w:p>
    <w:p w14:paraId="77CD6294">
      <w:pPr>
        <w:pStyle w:val="5"/>
        <w:rPr>
          <w:rFonts w:ascii="Times New Roman"/>
          <w:sz w:val="20"/>
        </w:rPr>
      </w:pPr>
    </w:p>
    <w:p w14:paraId="0040CC09">
      <w:pPr>
        <w:pStyle w:val="5"/>
        <w:rPr>
          <w:rFonts w:ascii="Times New Roman"/>
          <w:sz w:val="20"/>
        </w:rPr>
      </w:pPr>
    </w:p>
    <w:p w14:paraId="316BEDFB">
      <w:pPr>
        <w:pStyle w:val="5"/>
        <w:rPr>
          <w:rFonts w:ascii="Times New Roman"/>
          <w:sz w:val="20"/>
        </w:rPr>
      </w:pPr>
    </w:p>
    <w:p w14:paraId="7228B561">
      <w:pPr>
        <w:pStyle w:val="5"/>
        <w:rPr>
          <w:rFonts w:ascii="Times New Roman"/>
          <w:sz w:val="20"/>
        </w:rPr>
      </w:pPr>
    </w:p>
    <w:p w14:paraId="763DCAEA">
      <w:pPr>
        <w:pStyle w:val="5"/>
        <w:rPr>
          <w:rFonts w:ascii="Times New Roman"/>
          <w:sz w:val="20"/>
        </w:rPr>
      </w:pPr>
    </w:p>
    <w:p w14:paraId="69556506">
      <w:pPr>
        <w:pStyle w:val="5"/>
        <w:rPr>
          <w:rFonts w:ascii="Times New Roman"/>
          <w:sz w:val="20"/>
        </w:rPr>
      </w:pPr>
    </w:p>
    <w:p w14:paraId="518D4A99">
      <w:pPr>
        <w:pStyle w:val="9"/>
        <w:widowControl/>
        <w:spacing w:beforeAutospacing="0" w:afterAutospacing="0" w:line="360" w:lineRule="auto"/>
        <w:ind w:firstLine="420"/>
        <w:jc w:val="center"/>
        <w:rPr>
          <w:rFonts w:cs="宋体"/>
          <w:b/>
          <w:sz w:val="44"/>
          <w:szCs w:val="20"/>
        </w:rPr>
      </w:pPr>
      <w:r>
        <w:rPr>
          <w:b/>
          <w:sz w:val="44"/>
          <w:szCs w:val="20"/>
        </w:rPr>
        <w:t>202</w:t>
      </w:r>
      <w:r>
        <w:rPr>
          <w:rFonts w:hint="eastAsia"/>
          <w:b/>
          <w:sz w:val="44"/>
          <w:szCs w:val="20"/>
          <w:lang w:val="en-US" w:eastAsia="zh-CN"/>
        </w:rPr>
        <w:t>4</w:t>
      </w:r>
      <w:r>
        <w:rPr>
          <w:b/>
          <w:spacing w:val="-14"/>
          <w:sz w:val="44"/>
          <w:szCs w:val="20"/>
        </w:rPr>
        <w:t>年</w:t>
      </w:r>
      <w:r>
        <w:rPr>
          <w:rFonts w:hint="eastAsia" w:cs="宋体"/>
          <w:b/>
          <w:sz w:val="44"/>
          <w:szCs w:val="20"/>
          <w:lang w:eastAsia="zh-CN"/>
        </w:rPr>
        <w:t>广州医科大学附属</w:t>
      </w:r>
      <w:r>
        <w:rPr>
          <w:rFonts w:hint="eastAsia" w:cs="宋体"/>
          <w:b/>
          <w:sz w:val="44"/>
          <w:szCs w:val="20"/>
        </w:rPr>
        <w:t>妇女儿童医疗中心</w:t>
      </w:r>
    </w:p>
    <w:p w14:paraId="45E0F9D3">
      <w:pPr>
        <w:pStyle w:val="9"/>
        <w:widowControl/>
        <w:spacing w:beforeAutospacing="0" w:afterAutospacing="0" w:line="360" w:lineRule="auto"/>
        <w:ind w:firstLine="420"/>
        <w:jc w:val="center"/>
        <w:rPr>
          <w:b/>
          <w:sz w:val="44"/>
          <w:szCs w:val="20"/>
        </w:rPr>
      </w:pPr>
      <w:r>
        <w:rPr>
          <w:rFonts w:hint="default"/>
          <w:b/>
          <w:sz w:val="44"/>
          <w:szCs w:val="20"/>
        </w:rPr>
        <w:t>官网升级改版</w:t>
      </w:r>
      <w:r>
        <w:rPr>
          <w:rFonts w:hint="eastAsia"/>
          <w:b/>
          <w:sz w:val="44"/>
          <w:szCs w:val="20"/>
        </w:rPr>
        <w:t>项目</w:t>
      </w:r>
    </w:p>
    <w:p w14:paraId="6A74B838">
      <w:pPr>
        <w:pStyle w:val="5"/>
        <w:spacing w:line="114" w:lineRule="exact"/>
        <w:ind w:left="414"/>
        <w:rPr>
          <w:sz w:val="11"/>
        </w:rPr>
      </w:pPr>
      <w:r>
        <w:rPr>
          <w:position w:val="-1"/>
          <w:sz w:val="11"/>
          <w:lang w:val="en-US" w:bidi="ar-SA"/>
        </w:rPr>
        <mc:AlternateContent>
          <mc:Choice Requires="wpg">
            <w:drawing>
              <wp:inline distT="0" distB="0" distL="114300" distR="114300">
                <wp:extent cx="5401310" cy="72390"/>
                <wp:effectExtent l="0" t="0" r="8890" b="3810"/>
                <wp:docPr id="7" name="组合 7"/>
                <wp:cNvGraphicFramePr/>
                <a:graphic xmlns:a="http://schemas.openxmlformats.org/drawingml/2006/main">
                  <a:graphicData uri="http://schemas.microsoft.com/office/word/2010/wordprocessingGroup">
                    <wpg:wgp>
                      <wpg:cNvGrpSpPr/>
                      <wpg:grpSpPr>
                        <a:xfrm>
                          <a:off x="0" y="0"/>
                          <a:ext cx="5401310" cy="72390"/>
                          <a:chOff x="0" y="0"/>
                          <a:chExt cx="8506" cy="114"/>
                        </a:xfrm>
                        <a:effectLst/>
                      </wpg:grpSpPr>
                      <wps:wsp>
                        <wps:cNvPr id="6" name="任意多边形 3"/>
                        <wps:cNvSpPr/>
                        <wps:spPr>
                          <a:xfrm>
                            <a:off x="0" y="0"/>
                            <a:ext cx="8506" cy="114"/>
                          </a:xfrm>
                          <a:custGeom>
                            <a:avLst/>
                            <a:gdLst/>
                            <a:ahLst/>
                            <a:cxnLst/>
                            <a:rect l="0" t="0" r="0" b="0"/>
                            <a:pathLst>
                              <a:path w="8506" h="114">
                                <a:moveTo>
                                  <a:pt x="0" y="0"/>
                                </a:moveTo>
                                <a:lnTo>
                                  <a:pt x="0" y="22"/>
                                </a:lnTo>
                                <a:lnTo>
                                  <a:pt x="8505" y="26"/>
                                </a:lnTo>
                                <a:lnTo>
                                  <a:pt x="8505" y="4"/>
                                </a:lnTo>
                                <a:lnTo>
                                  <a:pt x="0" y="0"/>
                                </a:lnTo>
                                <a:close/>
                                <a:moveTo>
                                  <a:pt x="0" y="44"/>
                                </a:moveTo>
                                <a:lnTo>
                                  <a:pt x="0" y="110"/>
                                </a:lnTo>
                                <a:lnTo>
                                  <a:pt x="8505" y="114"/>
                                </a:lnTo>
                                <a:lnTo>
                                  <a:pt x="8505" y="48"/>
                                </a:lnTo>
                                <a:lnTo>
                                  <a:pt x="0" y="44"/>
                                </a:lnTo>
                                <a:close/>
                              </a:path>
                            </a:pathLst>
                          </a:custGeom>
                          <a:solidFill>
                            <a:srgbClr val="FF0000"/>
                          </a:solidFill>
                          <a:ln>
                            <a:noFill/>
                          </a:ln>
                          <a:effectLst/>
                        </wps:spPr>
                        <wps:bodyPr upright="1"/>
                      </wps:wsp>
                    </wpg:wgp>
                  </a:graphicData>
                </a:graphic>
              </wp:inline>
            </w:drawing>
          </mc:Choice>
          <mc:Fallback>
            <w:pict>
              <v:group id="_x0000_s1026" o:spid="_x0000_s1026" o:spt="203" style="height:5.7pt;width:425.3pt;" coordsize="8506,114" o:gfxdata="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CbfoE1QAAAAQBAAAPAAAAAAAAAAEAIAAAACIAAABkcnMvZG93bnJldi54bWxQSwEC&#10;FAAUAAAACACHTuJAcVsgBKICAACsBgAADgAAAAAAAAABACAAAAAkAQAAZHJzL2Uyb0RvYy54bWxQ&#10;SwUGAAAAAAYABgBZAQAAOAYAAAAA&#10;">
                <o:lock v:ext="edit" aspectratio="f"/>
                <v:shape id="任意多边形 3" o:spid="_x0000_s1026" o:spt="100" style="position:absolute;left:0;top:0;height:114;width:8506;" fillcolor="#FF0000" filled="t" stroked="f" coordsize="8506,114" o:gfxdata="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zxF68AAAA&#10;2gAAAA8AAAAAAAAAAQAgAAAAIgAAAGRycy9kb3ducmV2LnhtbFBLAQIUABQAAAAIAIdO4kAzLwWe&#10;OwAAADkAAAAQAAAAAAAAAAEAIAAAAAsBAABkcnMvc2hhcGV4bWwueG1sUEsFBgAAAAAGAAYAWwEA&#10;ALUDAAAAAA==&#10;" path="m0,0l0,22,8505,26,8505,4,0,0xm0,44l0,110,8505,114,8505,48,0,44xe">
                  <v:fill on="t" focussize="0,0"/>
                  <v:stroke on="f"/>
                  <v:imagedata o:title=""/>
                  <o:lock v:ext="edit" aspectratio="f"/>
                </v:shape>
                <w10:wrap type="none"/>
                <w10:anchorlock/>
              </v:group>
            </w:pict>
          </mc:Fallback>
        </mc:AlternateContent>
      </w:r>
    </w:p>
    <w:p w14:paraId="3D279B0A">
      <w:pPr>
        <w:pStyle w:val="5"/>
        <w:rPr>
          <w:b/>
          <w:sz w:val="28"/>
        </w:rPr>
      </w:pPr>
    </w:p>
    <w:p w14:paraId="33AC71AE">
      <w:pPr>
        <w:pStyle w:val="5"/>
        <w:rPr>
          <w:b/>
          <w:sz w:val="28"/>
        </w:rPr>
      </w:pPr>
    </w:p>
    <w:p w14:paraId="76E5AD9B">
      <w:pPr>
        <w:pStyle w:val="5"/>
        <w:rPr>
          <w:b/>
          <w:sz w:val="28"/>
        </w:rPr>
      </w:pPr>
    </w:p>
    <w:p w14:paraId="6CAD6394">
      <w:pPr>
        <w:pStyle w:val="5"/>
        <w:spacing w:before="9"/>
        <w:rPr>
          <w:b/>
          <w:sz w:val="20"/>
        </w:rPr>
      </w:pPr>
    </w:p>
    <w:p w14:paraId="5ACC9B5A">
      <w:pPr>
        <w:ind w:left="844" w:right="664"/>
        <w:jc w:val="center"/>
        <w:rPr>
          <w:b/>
          <w:sz w:val="80"/>
        </w:rPr>
      </w:pPr>
      <w:r>
        <w:rPr>
          <w:b/>
          <w:sz w:val="80"/>
        </w:rPr>
        <w:t>招标文件</w:t>
      </w:r>
    </w:p>
    <w:p w14:paraId="740B97B1">
      <w:pPr>
        <w:pStyle w:val="5"/>
        <w:rPr>
          <w:b/>
          <w:sz w:val="80"/>
        </w:rPr>
      </w:pPr>
    </w:p>
    <w:p w14:paraId="190F3811">
      <w:pPr>
        <w:pStyle w:val="5"/>
        <w:rPr>
          <w:b/>
          <w:sz w:val="80"/>
        </w:rPr>
      </w:pPr>
    </w:p>
    <w:p w14:paraId="19FEC627">
      <w:pPr>
        <w:pStyle w:val="5"/>
        <w:spacing w:before="4"/>
        <w:rPr>
          <w:b/>
          <w:sz w:val="92"/>
        </w:rPr>
      </w:pPr>
    </w:p>
    <w:p w14:paraId="6AB014E4">
      <w:pPr>
        <w:spacing w:before="1"/>
        <w:jc w:val="center"/>
        <w:rPr>
          <w:rFonts w:hint="eastAsia" w:eastAsia="宋体"/>
          <w:b/>
          <w:sz w:val="32"/>
          <w:lang w:val="en-US" w:eastAsia="zh-CN"/>
        </w:rPr>
      </w:pPr>
      <w:r>
        <w:rPr>
          <w:rFonts w:hint="eastAsia"/>
          <w:b/>
          <w:sz w:val="32"/>
        </w:rPr>
        <w:t>广州</w:t>
      </w:r>
      <w:r>
        <w:rPr>
          <w:rFonts w:hint="eastAsia"/>
          <w:b/>
          <w:sz w:val="32"/>
          <w:lang w:eastAsia="zh-CN"/>
        </w:rPr>
        <w:t>医科大学附属妇女儿童医疗中心</w:t>
      </w:r>
    </w:p>
    <w:p w14:paraId="4347F6C9">
      <w:pPr>
        <w:pStyle w:val="5"/>
        <w:spacing w:before="10"/>
        <w:rPr>
          <w:b/>
          <w:sz w:val="32"/>
        </w:rPr>
      </w:pPr>
    </w:p>
    <w:p w14:paraId="65CC1780">
      <w:pPr>
        <w:pStyle w:val="5"/>
        <w:spacing w:before="10"/>
        <w:rPr>
          <w:b/>
          <w:sz w:val="32"/>
        </w:rPr>
      </w:pPr>
    </w:p>
    <w:p w14:paraId="0E842128">
      <w:pPr>
        <w:ind w:left="844" w:right="823"/>
        <w:jc w:val="center"/>
        <w:rPr>
          <w:b/>
          <w:sz w:val="32"/>
        </w:rPr>
      </w:pPr>
      <w:r>
        <w:rPr>
          <w:b/>
          <w:sz w:val="32"/>
        </w:rPr>
        <w:t>二○二</w:t>
      </w:r>
      <w:r>
        <w:rPr>
          <w:rFonts w:hint="eastAsia"/>
          <w:b/>
          <w:sz w:val="32"/>
          <w:lang w:eastAsia="zh-CN"/>
        </w:rPr>
        <w:t>四</w:t>
      </w:r>
      <w:r>
        <w:rPr>
          <w:b/>
          <w:sz w:val="32"/>
        </w:rPr>
        <w:t>年</w:t>
      </w:r>
      <w:r>
        <w:rPr>
          <w:rFonts w:hint="eastAsia"/>
          <w:b/>
          <w:sz w:val="32"/>
          <w:lang w:val="en-US" w:eastAsia="zh-CN"/>
        </w:rPr>
        <w:t>八</w:t>
      </w:r>
      <w:r>
        <w:rPr>
          <w:b/>
          <w:sz w:val="32"/>
        </w:rPr>
        <w:t>月</w:t>
      </w:r>
    </w:p>
    <w:p w14:paraId="73996BC6">
      <w:pPr>
        <w:jc w:val="center"/>
        <w:rPr>
          <w:sz w:val="32"/>
        </w:rPr>
        <w:sectPr>
          <w:footerReference r:id="rId3" w:type="default"/>
          <w:pgSz w:w="11910" w:h="16840"/>
          <w:pgMar w:top="1580" w:right="1340" w:bottom="280" w:left="1020" w:header="720" w:footer="720" w:gutter="0"/>
          <w:pgNumType w:fmt="decimal"/>
          <w:cols w:space="720" w:num="1"/>
        </w:sectPr>
      </w:pPr>
    </w:p>
    <w:p w14:paraId="03161ABB">
      <w:pPr>
        <w:pStyle w:val="8"/>
        <w:tabs>
          <w:tab w:val="left" w:pos="1238"/>
          <w:tab w:val="right" w:leader="dot" w:pos="9078"/>
        </w:tabs>
        <w:ind w:left="398" w:firstLine="0"/>
        <w:rPr>
          <w:rFonts w:ascii="Calibri" w:eastAsia="Calibri"/>
        </w:rPr>
      </w:pPr>
      <w:r>
        <w:t xml:space="preserve">     </w:t>
      </w:r>
    </w:p>
    <w:p w14:paraId="2859EE03">
      <w:pPr>
        <w:rPr>
          <w:rFonts w:ascii="Calibri" w:eastAsia="Calibri"/>
        </w:rPr>
        <w:sectPr>
          <w:headerReference r:id="rId4" w:type="default"/>
          <w:footerReference r:id="rId5" w:type="default"/>
          <w:type w:val="continuous"/>
          <w:pgSz w:w="11910" w:h="16840"/>
          <w:pgMar w:top="1381" w:right="1340" w:bottom="1510" w:left="1020" w:header="720" w:footer="720" w:gutter="0"/>
          <w:pgNumType w:fmt="decimal"/>
          <w:cols w:space="720" w:num="1"/>
        </w:sectPr>
      </w:pPr>
    </w:p>
    <w:p w14:paraId="5580825C">
      <w:pPr>
        <w:pStyle w:val="5"/>
        <w:rPr>
          <w:rFonts w:ascii="Calibri"/>
          <w:b/>
          <w:sz w:val="50"/>
        </w:rPr>
      </w:pPr>
    </w:p>
    <w:p w14:paraId="5EAEEEB0">
      <w:pPr>
        <w:pStyle w:val="5"/>
        <w:rPr>
          <w:rFonts w:ascii="Calibri"/>
          <w:b/>
          <w:sz w:val="50"/>
        </w:rPr>
      </w:pPr>
    </w:p>
    <w:p w14:paraId="0F2674C0">
      <w:pPr>
        <w:pStyle w:val="5"/>
        <w:rPr>
          <w:rFonts w:ascii="Calibri"/>
          <w:b/>
          <w:sz w:val="50"/>
        </w:rPr>
      </w:pPr>
    </w:p>
    <w:p w14:paraId="7AEDB103">
      <w:pPr>
        <w:pStyle w:val="5"/>
        <w:rPr>
          <w:rFonts w:ascii="Calibri"/>
          <w:b/>
          <w:sz w:val="50"/>
        </w:rPr>
      </w:pPr>
    </w:p>
    <w:p w14:paraId="3EEFB11E">
      <w:pPr>
        <w:pStyle w:val="5"/>
        <w:rPr>
          <w:rFonts w:ascii="Calibri"/>
          <w:b/>
          <w:sz w:val="50"/>
        </w:rPr>
      </w:pPr>
    </w:p>
    <w:p w14:paraId="09FC34AB">
      <w:pPr>
        <w:pStyle w:val="5"/>
        <w:rPr>
          <w:rFonts w:ascii="Calibri"/>
          <w:b/>
          <w:sz w:val="50"/>
        </w:rPr>
      </w:pPr>
    </w:p>
    <w:p w14:paraId="371280F5">
      <w:pPr>
        <w:pStyle w:val="5"/>
        <w:rPr>
          <w:rFonts w:ascii="Calibri"/>
          <w:b/>
          <w:sz w:val="50"/>
        </w:rPr>
      </w:pPr>
    </w:p>
    <w:p w14:paraId="61F2E773">
      <w:pPr>
        <w:pStyle w:val="5"/>
        <w:spacing w:before="6"/>
        <w:rPr>
          <w:rFonts w:ascii="Calibri"/>
          <w:b/>
          <w:sz w:val="49"/>
        </w:rPr>
      </w:pPr>
    </w:p>
    <w:p w14:paraId="4D9E6466">
      <w:pPr>
        <w:pStyle w:val="3"/>
        <w:spacing w:before="0"/>
        <w:ind w:left="836"/>
      </w:pPr>
      <w:bookmarkStart w:id="0" w:name="_bookmark0"/>
      <w:bookmarkEnd w:id="0"/>
      <w:r>
        <w:t>第一章 投标邀请</w:t>
      </w:r>
    </w:p>
    <w:p w14:paraId="3306DB32">
      <w:pPr>
        <w:sectPr>
          <w:pgSz w:w="11910" w:h="16840"/>
          <w:pgMar w:top="1360" w:right="1340" w:bottom="1420" w:left="1020" w:header="624" w:footer="1216" w:gutter="0"/>
          <w:pgNumType w:fmt="decimal"/>
          <w:cols w:space="720" w:num="1"/>
        </w:sectPr>
      </w:pPr>
    </w:p>
    <w:p w14:paraId="3D2B25E6">
      <w:pPr>
        <w:spacing w:before="60"/>
        <w:ind w:left="844" w:right="844"/>
        <w:jc w:val="center"/>
        <w:rPr>
          <w:b/>
          <w:sz w:val="24"/>
        </w:rPr>
      </w:pPr>
      <w:r>
        <w:rPr>
          <w:b/>
          <w:sz w:val="24"/>
        </w:rPr>
        <w:t>项目概况</w:t>
      </w:r>
    </w:p>
    <w:p w14:paraId="76745583">
      <w:pPr>
        <w:spacing w:line="360" w:lineRule="auto"/>
      </w:pPr>
      <w:r>
        <w:rPr>
          <w:rFonts w:hint="eastAsia"/>
        </w:rPr>
        <w:t>2024年广州医科大学附属妇女儿童医疗中心官网升级改版项目</w:t>
      </w:r>
      <w:r>
        <w:t>的潜在投标人</w:t>
      </w:r>
    </w:p>
    <w:p w14:paraId="5A400889">
      <w:pPr>
        <w:spacing w:line="360" w:lineRule="auto"/>
        <w:rPr>
          <w:b/>
        </w:rPr>
      </w:pPr>
      <w:r>
        <w:rPr>
          <w:b/>
        </w:rPr>
        <w:t>一、项目基本情况</w:t>
      </w:r>
    </w:p>
    <w:p w14:paraId="5D987C92">
      <w:pPr>
        <w:spacing w:line="360" w:lineRule="auto"/>
        <w:rPr>
          <w:rFonts w:hint="eastAsia"/>
          <w:highlight w:val="none"/>
        </w:rPr>
      </w:pPr>
      <w:r>
        <w:t>(</w:t>
      </w:r>
      <w:r>
        <w:rPr>
          <w:rFonts w:hint="eastAsia"/>
          <w:highlight w:val="none"/>
          <w:lang w:val="en-US" w:eastAsia="zh-CN"/>
        </w:rPr>
        <w:t>一</w:t>
      </w:r>
      <w:r>
        <w:rPr>
          <w:highlight w:val="none"/>
        </w:rPr>
        <w:t>)项目名称：</w:t>
      </w:r>
      <w:r>
        <w:rPr>
          <w:rFonts w:hint="eastAsia"/>
          <w:highlight w:val="none"/>
        </w:rPr>
        <w:t>2024年广州医科大学附属妇女儿童医疗中心官网升级改版项目</w:t>
      </w:r>
    </w:p>
    <w:p w14:paraId="6673334D">
      <w:pPr>
        <w:spacing w:line="360" w:lineRule="auto"/>
        <w:rPr>
          <w:highlight w:val="none"/>
        </w:rPr>
      </w:pPr>
      <w:r>
        <w:rPr>
          <w:highlight w:val="none"/>
        </w:rPr>
        <w:t>(</w:t>
      </w:r>
      <w:r>
        <w:rPr>
          <w:rFonts w:hint="eastAsia"/>
          <w:highlight w:val="none"/>
          <w:lang w:val="en-US" w:eastAsia="zh-CN"/>
        </w:rPr>
        <w:t>二</w:t>
      </w:r>
      <w:r>
        <w:rPr>
          <w:highlight w:val="none"/>
        </w:rPr>
        <w:t>)预算金额（元）：</w:t>
      </w:r>
      <w:r>
        <w:rPr>
          <w:rFonts w:hint="eastAsia"/>
          <w:highlight w:val="none"/>
          <w:lang w:val="en-US" w:eastAsia="zh-CN"/>
        </w:rPr>
        <w:t>35</w:t>
      </w:r>
      <w:r>
        <w:rPr>
          <w:highlight w:val="none"/>
        </w:rPr>
        <w:t>0000.00</w:t>
      </w:r>
    </w:p>
    <w:p w14:paraId="20FD75AB">
      <w:pPr>
        <w:spacing w:line="360" w:lineRule="auto"/>
        <w:rPr>
          <w:highlight w:val="none"/>
        </w:rPr>
      </w:pPr>
      <w:r>
        <w:rPr>
          <w:highlight w:val="none"/>
        </w:rPr>
        <w:t>(</w:t>
      </w:r>
      <w:r>
        <w:rPr>
          <w:rFonts w:hint="eastAsia"/>
          <w:highlight w:val="none"/>
          <w:lang w:val="en-US" w:eastAsia="zh-CN"/>
        </w:rPr>
        <w:t>三</w:t>
      </w:r>
      <w:r>
        <w:rPr>
          <w:highlight w:val="none"/>
        </w:rPr>
        <w:t>)最高限价（元）：</w:t>
      </w:r>
      <w:r>
        <w:rPr>
          <w:rFonts w:hint="eastAsia"/>
          <w:highlight w:val="none"/>
          <w:lang w:val="en-US" w:eastAsia="zh-CN"/>
        </w:rPr>
        <w:t>35</w:t>
      </w:r>
      <w:r>
        <w:rPr>
          <w:highlight w:val="none"/>
        </w:rPr>
        <w:t>0000.00</w:t>
      </w:r>
    </w:p>
    <w:p w14:paraId="30C444AC">
      <w:pPr>
        <w:spacing w:line="360" w:lineRule="auto"/>
        <w:rPr>
          <w:highlight w:val="none"/>
        </w:rPr>
      </w:pPr>
      <w:r>
        <w:rPr>
          <w:highlight w:val="none"/>
        </w:rPr>
        <w:t>(</w:t>
      </w:r>
      <w:r>
        <w:rPr>
          <w:rFonts w:hint="eastAsia"/>
          <w:highlight w:val="none"/>
          <w:lang w:val="en-US" w:eastAsia="zh-CN"/>
        </w:rPr>
        <w:t>四</w:t>
      </w:r>
      <w:r>
        <w:rPr>
          <w:highlight w:val="none"/>
        </w:rPr>
        <w:t>)采购需求：（包括但不限于标的的名称、数量、简要技术需求或服务要求等）</w:t>
      </w:r>
    </w:p>
    <w:p w14:paraId="2DB2ACA2">
      <w:pPr>
        <w:spacing w:line="360" w:lineRule="auto"/>
        <w:rPr>
          <w:highlight w:val="none"/>
        </w:rPr>
      </w:pPr>
      <w:r>
        <w:rPr>
          <w:rFonts w:hint="eastAsia"/>
          <w:highlight w:val="none"/>
        </w:rPr>
        <w:t>1、</w:t>
      </w:r>
      <w:r>
        <w:rPr>
          <w:highlight w:val="none"/>
        </w:rPr>
        <w:t>标的名称：</w:t>
      </w:r>
      <w:r>
        <w:rPr>
          <w:rFonts w:hint="eastAsia"/>
          <w:highlight w:val="none"/>
        </w:rPr>
        <w:t>2024年广州医科大学附属妇女儿童医疗中心官网升级改版项目</w:t>
      </w:r>
    </w:p>
    <w:p w14:paraId="0B9740EF">
      <w:pPr>
        <w:spacing w:line="360" w:lineRule="auto"/>
      </w:pPr>
      <w:r>
        <w:t>2、标的数量：一项</w:t>
      </w:r>
    </w:p>
    <w:p w14:paraId="0A1DEB3D">
      <w:pPr>
        <w:spacing w:line="360" w:lineRule="auto"/>
      </w:pPr>
      <w:r>
        <w:t>3、简要技术需求或服务要求：</w:t>
      </w:r>
    </w:p>
    <w:p w14:paraId="3B305F50">
      <w:pPr>
        <w:spacing w:line="360" w:lineRule="auto"/>
      </w:pPr>
      <w:r>
        <w:t>(</w:t>
      </w:r>
      <w:r>
        <w:rPr>
          <w:rFonts w:hint="eastAsia"/>
          <w:lang w:val="en-US" w:eastAsia="zh-CN"/>
        </w:rPr>
        <w:t>1</w:t>
      </w:r>
      <w:r>
        <w:t>) 采购方式：院内招标</w:t>
      </w:r>
    </w:p>
    <w:p w14:paraId="2B3EA8FB">
      <w:pPr>
        <w:spacing w:line="360" w:lineRule="auto"/>
      </w:pPr>
      <w:r>
        <w:t>(</w:t>
      </w:r>
      <w:r>
        <w:rPr>
          <w:rFonts w:hint="eastAsia"/>
          <w:lang w:val="en-US" w:eastAsia="zh-CN"/>
        </w:rPr>
        <w:t>2</w:t>
      </w:r>
      <w:r>
        <w:t>) 服务详细内容、要求及执行标准详见招标文件中的“用户需求书”。</w:t>
      </w:r>
    </w:p>
    <w:p w14:paraId="4D5DEEF8">
      <w:pPr>
        <w:spacing w:line="360" w:lineRule="auto"/>
      </w:pPr>
      <w:r>
        <w:t>(</w:t>
      </w:r>
      <w:r>
        <w:rPr>
          <w:rFonts w:hint="eastAsia"/>
          <w:lang w:val="en-US" w:eastAsia="zh-CN"/>
        </w:rPr>
        <w:t>3</w:t>
      </w:r>
      <w:r>
        <w:t>) 本项目</w:t>
      </w:r>
      <w:r>
        <w:rPr>
          <w:rFonts w:hint="eastAsia"/>
        </w:rPr>
        <w:t>不</w:t>
      </w:r>
      <w:r>
        <w:t>属于政府采购项目。</w:t>
      </w:r>
    </w:p>
    <w:p w14:paraId="260048AE">
      <w:pPr>
        <w:numPr>
          <w:ilvl w:val="0"/>
          <w:numId w:val="1"/>
        </w:numPr>
        <w:spacing w:line="360" w:lineRule="auto"/>
        <w:ind w:left="425" w:leftChars="0" w:hanging="425" w:firstLineChars="0"/>
        <w:rPr>
          <w:rFonts w:hint="eastAsia"/>
          <w:lang w:eastAsia="zh-CN"/>
        </w:rPr>
      </w:pPr>
      <w:r>
        <w:t>合同履行期限：服务期为自合同签订之日起</w:t>
      </w:r>
      <w:r>
        <w:rPr>
          <w:rFonts w:hint="eastAsia"/>
          <w:lang w:eastAsia="zh-CN"/>
        </w:rPr>
        <w:t>一年</w:t>
      </w:r>
      <w:r>
        <w:t>或</w:t>
      </w:r>
      <w:r>
        <w:rPr>
          <w:rFonts w:hint="eastAsia"/>
          <w:lang w:val="en-US" w:eastAsia="zh-CN"/>
        </w:rPr>
        <w:t>本</w:t>
      </w:r>
      <w:r>
        <w:t>项目完成</w:t>
      </w:r>
      <w:r>
        <w:rPr>
          <w:rFonts w:hint="eastAsia"/>
          <w:lang w:eastAsia="zh-CN"/>
        </w:rPr>
        <w:t>。</w:t>
      </w:r>
    </w:p>
    <w:p w14:paraId="51772567">
      <w:pPr>
        <w:numPr>
          <w:ilvl w:val="0"/>
          <w:numId w:val="1"/>
        </w:numPr>
        <w:spacing w:line="360" w:lineRule="auto"/>
        <w:ind w:left="425" w:leftChars="0" w:hanging="425" w:firstLineChars="0"/>
      </w:pPr>
      <w:r>
        <w:t>本项目不接受联合体投标。</w:t>
      </w:r>
    </w:p>
    <w:p w14:paraId="615EB7B6">
      <w:pPr>
        <w:spacing w:line="360" w:lineRule="auto"/>
        <w:rPr>
          <w:b/>
        </w:rPr>
      </w:pPr>
      <w:r>
        <w:rPr>
          <w:b/>
        </w:rPr>
        <w:t>二、申请人的资格要求：</w:t>
      </w:r>
    </w:p>
    <w:p w14:paraId="53FDA79C">
      <w:pPr>
        <w:numPr>
          <w:ilvl w:val="0"/>
          <w:numId w:val="2"/>
        </w:numPr>
        <w:spacing w:line="360" w:lineRule="auto"/>
        <w:ind w:left="0" w:leftChars="0" w:firstLine="440" w:firstLineChars="200"/>
      </w:pPr>
      <w:r>
        <w:t>具备《中华人民共和国政府采购法》第二十二条规定的条件；</w:t>
      </w:r>
    </w:p>
    <w:p w14:paraId="2D225E23">
      <w:pPr>
        <w:numPr>
          <w:ilvl w:val="0"/>
          <w:numId w:val="2"/>
        </w:numPr>
        <w:spacing w:line="360" w:lineRule="auto"/>
        <w:ind w:left="0" w:leftChars="0" w:firstLine="440" w:firstLineChars="200"/>
      </w:pPr>
      <w:r>
        <w:t>具有独立承担民事责任的能力；（提供法人或者其他组织的营业执照、组织机构代码证和税务登记证（或多证合一证明）等证明文件）</w:t>
      </w:r>
    </w:p>
    <w:p w14:paraId="49192C7C">
      <w:pPr>
        <w:numPr>
          <w:ilvl w:val="0"/>
          <w:numId w:val="2"/>
        </w:numPr>
        <w:spacing w:line="360" w:lineRule="auto"/>
        <w:ind w:left="0" w:leftChars="0" w:firstLine="440" w:firstLineChars="200"/>
      </w:pPr>
      <w:r>
        <w:t>具有履行合同所必需的专业技术能力；</w:t>
      </w:r>
    </w:p>
    <w:p w14:paraId="1365E8C5">
      <w:pPr>
        <w:numPr>
          <w:ilvl w:val="0"/>
          <w:numId w:val="2"/>
        </w:numPr>
        <w:spacing w:line="360" w:lineRule="auto"/>
        <w:ind w:left="0" w:leftChars="0" w:firstLine="440" w:firstLineChars="200"/>
      </w:pPr>
      <w:r>
        <w:t>有依法缴纳税收和社会保障资金的良好记录；（提供缴纳税收和社会保险的凭证。如依法免税或不需要缴纳社会保障资金的，应提供相应文件证明）</w:t>
      </w:r>
    </w:p>
    <w:p w14:paraId="45BC5361">
      <w:pPr>
        <w:numPr>
          <w:ilvl w:val="0"/>
          <w:numId w:val="2"/>
        </w:numPr>
        <w:spacing w:line="360" w:lineRule="auto"/>
        <w:ind w:left="0" w:leftChars="0" w:firstLine="440" w:firstLineChars="200"/>
      </w:pPr>
      <w:r>
        <w:t>参加政府采购活动前三年内，在经营活动中没有重大违法记录；（提供书面声明）法律、行政法规规定的其他条件。</w:t>
      </w:r>
    </w:p>
    <w:p w14:paraId="3DDE4859">
      <w:pPr>
        <w:numPr>
          <w:ilvl w:val="0"/>
          <w:numId w:val="2"/>
        </w:numPr>
        <w:spacing w:line="360" w:lineRule="auto"/>
        <w:ind w:left="0" w:leftChars="0" w:firstLine="440" w:firstLineChars="200"/>
      </w:pPr>
      <w:r>
        <w:t>在“信用中国”网站（</w:t>
      </w:r>
      <w:r>
        <w:fldChar w:fldCharType="begin"/>
      </w:r>
      <w:r>
        <w:instrText xml:space="preserve"> HYPERLINK "http://www.creditchina.gov.cn/" \h </w:instrText>
      </w:r>
      <w:r>
        <w:fldChar w:fldCharType="separate"/>
      </w:r>
      <w:r>
        <w:rPr>
          <w:rStyle w:val="13"/>
        </w:rPr>
        <w:t>www.creditchina.gov.cn</w:t>
      </w:r>
      <w:r>
        <w:fldChar w:fldCharType="end"/>
      </w:r>
      <w:r>
        <w:t>）、中国政府采购网（</w:t>
      </w:r>
      <w:r>
        <w:fldChar w:fldCharType="begin"/>
      </w:r>
      <w:r>
        <w:instrText xml:space="preserve"> HYPERLINK "http://www.ccgp.gov.cn/" \h </w:instrText>
      </w:r>
      <w:r>
        <w:fldChar w:fldCharType="separate"/>
      </w:r>
      <w:r>
        <w:rPr>
          <w:rStyle w:val="13"/>
        </w:rPr>
        <w:t>www.ccgp.gov.cn</w:t>
      </w:r>
      <w:r>
        <w:fldChar w:fldCharType="end"/>
      </w:r>
      <w:r>
        <w:t>） 查询供应商信用记录中，没有被列入失信被执行人、重大税收违法案件当事人名单、政府采购严重违法失信行为记录名单及其他不符合《中华人民共和国政府采购法》第二十二条规定条件的供应商（处罚期限届满的除外）。（以采购代理机构于投标截止日当天在“信用中国”网站（</w:t>
      </w:r>
      <w:r>
        <w:fldChar w:fldCharType="begin"/>
      </w:r>
      <w:r>
        <w:instrText xml:space="preserve"> HYPERLINK "http://www.creditchina.gov.cn/" \h </w:instrText>
      </w:r>
      <w:r>
        <w:fldChar w:fldCharType="separate"/>
      </w:r>
      <w:r>
        <w:rPr>
          <w:rStyle w:val="13"/>
        </w:rPr>
        <w:t>www.creditchina.gov.cn</w:t>
      </w:r>
      <w:r>
        <w:fldChar w:fldCharType="end"/>
      </w:r>
      <w:r>
        <w:t>）及中国政府采购网（</w:t>
      </w:r>
      <w:r>
        <w:fldChar w:fldCharType="begin"/>
      </w:r>
      <w:r>
        <w:instrText xml:space="preserve"> HYPERLINK "http://www.ccgp.gov.cn/" \h </w:instrText>
      </w:r>
      <w:r>
        <w:fldChar w:fldCharType="separate"/>
      </w:r>
      <w:r>
        <w:rPr>
          <w:rStyle w:val="13"/>
        </w:rPr>
        <w:t>www.ccgp.gov.cn</w:t>
      </w:r>
      <w:r>
        <w:fldChar w:fldCharType="end"/>
      </w:r>
      <w:r>
        <w:t>）查询结果为准）。</w:t>
      </w:r>
    </w:p>
    <w:p w14:paraId="422F3FB3">
      <w:pPr>
        <w:numPr>
          <w:ilvl w:val="0"/>
          <w:numId w:val="2"/>
        </w:numPr>
        <w:spacing w:line="360" w:lineRule="auto"/>
        <w:ind w:left="0" w:leftChars="0" w:firstLine="440" w:firstLineChars="200"/>
      </w:pPr>
      <w:r>
        <w:t>单位负责人为同一人或者存在直接控股、管理关系的不同供应商，不得参加同一合同项下的政府采购活动。为采购项目提供整体设计、规范编制或者项目管理、监理、检测等服务的投标人及其附属机构，不得再参加本项目或所投包组投标。（提供《承诺函》）</w:t>
      </w:r>
    </w:p>
    <w:p w14:paraId="5052A0D2">
      <w:pPr>
        <w:spacing w:line="360" w:lineRule="auto"/>
        <w:rPr>
          <w:b/>
        </w:rPr>
      </w:pPr>
      <w:r>
        <w:rPr>
          <w:b/>
        </w:rPr>
        <w:t>三、获取招标文件</w:t>
      </w:r>
      <w:r>
        <w:rPr>
          <w:rFonts w:hint="eastAsia"/>
          <w:b/>
        </w:rPr>
        <w:t xml:space="preserve">  </w:t>
      </w:r>
    </w:p>
    <w:p w14:paraId="13AFEA0D">
      <w:pPr>
        <w:spacing w:line="360" w:lineRule="auto"/>
        <w:rPr>
          <w:b/>
        </w:rPr>
      </w:pPr>
      <w:r>
        <w:rPr>
          <w:rFonts w:hint="eastAsia"/>
          <w:b/>
        </w:rPr>
        <w:t>招标公告发布日起，通过</w:t>
      </w:r>
      <w:r>
        <w:rPr>
          <w:rFonts w:hint="eastAsia"/>
          <w:b/>
          <w:lang w:eastAsia="zh-CN"/>
        </w:rPr>
        <w:t>广州医科大学附属妇女儿童医疗中心</w:t>
      </w:r>
      <w:r>
        <w:rPr>
          <w:rFonts w:hint="eastAsia"/>
          <w:b/>
        </w:rPr>
        <w:t>网站（</w:t>
      </w:r>
      <w:r>
        <w:rPr>
          <w:b/>
        </w:rPr>
        <w:t>http://www.gzfezx.com/</w:t>
      </w:r>
      <w:r>
        <w:rPr>
          <w:rFonts w:hint="eastAsia"/>
          <w:b/>
        </w:rPr>
        <w:t>）自行下载获取。</w:t>
      </w:r>
    </w:p>
    <w:p w14:paraId="6BA77C21">
      <w:pPr>
        <w:spacing w:line="360" w:lineRule="auto"/>
        <w:rPr>
          <w:b/>
        </w:rPr>
      </w:pPr>
      <w:r>
        <w:rPr>
          <w:b/>
        </w:rPr>
        <w:t>四、报名、提交投标文件截止时间、地点和方式</w:t>
      </w:r>
    </w:p>
    <w:p w14:paraId="2BE8A0E3">
      <w:pPr>
        <w:spacing w:line="360" w:lineRule="auto"/>
        <w:rPr>
          <w:highlight w:val="yellow"/>
        </w:rPr>
      </w:pPr>
      <w:r>
        <w:rPr>
          <w:highlight w:val="none"/>
        </w:rPr>
        <w:t>（一）</w:t>
      </w:r>
      <w:r>
        <w:rPr>
          <w:highlight w:val="yellow"/>
        </w:rPr>
        <w:t>报名时间：</w:t>
      </w:r>
      <w:r>
        <w:rPr>
          <w:rFonts w:hint="eastAsia"/>
          <w:highlight w:val="yellow"/>
        </w:rPr>
        <w:t>202</w:t>
      </w:r>
      <w:r>
        <w:rPr>
          <w:rFonts w:hint="eastAsia"/>
          <w:highlight w:val="yellow"/>
          <w:lang w:val="en-US" w:eastAsia="zh-CN"/>
        </w:rPr>
        <w:t>4</w:t>
      </w:r>
      <w:r>
        <w:rPr>
          <w:rFonts w:hint="eastAsia"/>
          <w:highlight w:val="yellow"/>
        </w:rPr>
        <w:t>年</w:t>
      </w:r>
      <w:r>
        <w:rPr>
          <w:rFonts w:hint="eastAsia"/>
          <w:highlight w:val="yellow"/>
          <w:lang w:val="en-US" w:eastAsia="zh-CN"/>
        </w:rPr>
        <w:t>8</w:t>
      </w:r>
      <w:r>
        <w:rPr>
          <w:rFonts w:hint="default"/>
          <w:highlight w:val="yellow"/>
        </w:rPr>
        <w:t>月</w:t>
      </w:r>
      <w:r>
        <w:rPr>
          <w:rFonts w:hint="eastAsia"/>
          <w:highlight w:val="yellow"/>
          <w:lang w:val="en-US" w:eastAsia="zh-CN"/>
        </w:rPr>
        <w:t>5</w:t>
      </w:r>
      <w:r>
        <w:rPr>
          <w:rFonts w:hint="default"/>
          <w:highlight w:val="yellow"/>
        </w:rPr>
        <w:t>日</w:t>
      </w:r>
      <w:r>
        <w:rPr>
          <w:rFonts w:hint="eastAsia"/>
          <w:highlight w:val="yellow"/>
          <w:lang w:val="en-US" w:eastAsia="zh-CN"/>
        </w:rPr>
        <w:t>12点</w:t>
      </w:r>
      <w:r>
        <w:rPr>
          <w:rFonts w:hint="eastAsia"/>
          <w:highlight w:val="yellow"/>
        </w:rPr>
        <w:t>-</w:t>
      </w:r>
      <w:r>
        <w:rPr>
          <w:highlight w:val="yellow"/>
        </w:rPr>
        <w:t>202</w:t>
      </w:r>
      <w:r>
        <w:rPr>
          <w:rFonts w:hint="eastAsia"/>
          <w:highlight w:val="yellow"/>
          <w:lang w:val="en-US" w:eastAsia="zh-CN"/>
        </w:rPr>
        <w:t>4</w:t>
      </w:r>
      <w:r>
        <w:rPr>
          <w:highlight w:val="yellow"/>
        </w:rPr>
        <w:t>年</w:t>
      </w:r>
      <w:r>
        <w:rPr>
          <w:rFonts w:hint="eastAsia"/>
          <w:highlight w:val="yellow"/>
          <w:lang w:val="en-US" w:eastAsia="zh-CN"/>
        </w:rPr>
        <w:t>8</w:t>
      </w:r>
      <w:r>
        <w:rPr>
          <w:rFonts w:hint="default"/>
          <w:highlight w:val="yellow"/>
        </w:rPr>
        <w:t>月</w:t>
      </w:r>
      <w:r>
        <w:rPr>
          <w:rFonts w:hint="eastAsia"/>
          <w:highlight w:val="yellow"/>
          <w:lang w:val="en-US" w:eastAsia="zh-CN"/>
        </w:rPr>
        <w:t>9</w:t>
      </w:r>
      <w:r>
        <w:rPr>
          <w:rFonts w:hint="default"/>
          <w:highlight w:val="yellow"/>
        </w:rPr>
        <w:t>日</w:t>
      </w:r>
      <w:r>
        <w:rPr>
          <w:rFonts w:hint="eastAsia"/>
          <w:highlight w:val="yellow"/>
          <w:lang w:val="en-US" w:eastAsia="zh-CN"/>
        </w:rPr>
        <w:t>12</w:t>
      </w:r>
      <w:r>
        <w:rPr>
          <w:rFonts w:hint="eastAsia"/>
          <w:highlight w:val="yellow"/>
        </w:rPr>
        <w:t>点</w:t>
      </w:r>
    </w:p>
    <w:p w14:paraId="5FA0F035">
      <w:pPr>
        <w:pStyle w:val="9"/>
        <w:widowControl/>
        <w:spacing w:beforeAutospacing="0" w:afterAutospacing="0" w:line="360" w:lineRule="auto"/>
        <w:rPr>
          <w:rFonts w:cs="宋体"/>
          <w:sz w:val="22"/>
        </w:rPr>
      </w:pPr>
      <w:r>
        <w:rPr>
          <w:rFonts w:cs="宋体"/>
          <w:sz w:val="22"/>
        </w:rPr>
        <w:t>（二）</w:t>
      </w:r>
      <w:r>
        <w:rPr>
          <w:rFonts w:hint="eastAsia" w:cs="宋体"/>
          <w:sz w:val="22"/>
        </w:rPr>
        <w:t>报名方式：请符合资格的供应商将《项目报名登记表》电子版和加盖公司公章的资质文件扫描件发至电子邮件</w:t>
      </w:r>
      <w:r>
        <w:rPr>
          <w:rFonts w:hint="eastAsia" w:cs="宋体"/>
          <w:sz w:val="22"/>
          <w:lang w:eastAsia="zh-CN"/>
        </w:rPr>
        <w:t>（lianluo@gwcmc.org）</w:t>
      </w:r>
      <w:r>
        <w:rPr>
          <w:rFonts w:hint="eastAsia" w:cs="宋体"/>
          <w:sz w:val="22"/>
        </w:rPr>
        <w:t>到采购人，并注明供应商联系人、联系电话、电子邮箱，因信息有误导致投标人报名不成功的，后果由供应商自行承担。</w:t>
      </w:r>
    </w:p>
    <w:p w14:paraId="2C83F325">
      <w:pPr>
        <w:spacing w:line="360" w:lineRule="auto"/>
        <w:rPr>
          <w:highlight w:val="yellow"/>
        </w:rPr>
      </w:pPr>
      <w:r>
        <w:rPr>
          <w:highlight w:val="none"/>
        </w:rPr>
        <w:t>（三）</w:t>
      </w:r>
      <w:r>
        <w:rPr>
          <w:highlight w:val="yellow"/>
        </w:rPr>
        <w:t>截止时间：202</w:t>
      </w:r>
      <w:r>
        <w:rPr>
          <w:rFonts w:hint="eastAsia"/>
          <w:highlight w:val="yellow"/>
          <w:lang w:val="en-US" w:eastAsia="zh-CN"/>
        </w:rPr>
        <w:t>4</w:t>
      </w:r>
      <w:r>
        <w:rPr>
          <w:highlight w:val="yellow"/>
        </w:rPr>
        <w:t>年</w:t>
      </w:r>
      <w:r>
        <w:rPr>
          <w:rFonts w:hint="eastAsia"/>
          <w:highlight w:val="yellow"/>
          <w:lang w:val="en-US" w:eastAsia="zh-CN"/>
        </w:rPr>
        <w:t>8</w:t>
      </w:r>
      <w:r>
        <w:rPr>
          <w:rFonts w:hint="default"/>
          <w:highlight w:val="yellow"/>
        </w:rPr>
        <w:t>月</w:t>
      </w:r>
      <w:r>
        <w:rPr>
          <w:rFonts w:hint="eastAsia"/>
          <w:highlight w:val="yellow"/>
          <w:lang w:val="en-US" w:eastAsia="zh-CN"/>
        </w:rPr>
        <w:t>9</w:t>
      </w:r>
      <w:r>
        <w:rPr>
          <w:rFonts w:hint="default"/>
          <w:highlight w:val="yellow"/>
        </w:rPr>
        <w:t>日</w:t>
      </w:r>
      <w:r>
        <w:rPr>
          <w:rFonts w:hint="eastAsia"/>
          <w:highlight w:val="yellow"/>
          <w:lang w:val="en-US" w:eastAsia="zh-CN"/>
        </w:rPr>
        <w:t>12</w:t>
      </w:r>
      <w:r>
        <w:rPr>
          <w:rFonts w:hint="eastAsia"/>
          <w:highlight w:val="yellow"/>
        </w:rPr>
        <w:t>点，</w:t>
      </w:r>
      <w:r>
        <w:rPr>
          <w:highlight w:val="yellow"/>
        </w:rPr>
        <w:t>每天上午 09:00 至 12:00，下午 14:30 至 17:</w:t>
      </w:r>
      <w:r>
        <w:rPr>
          <w:rFonts w:hint="eastAsia"/>
          <w:highlight w:val="yellow"/>
          <w:lang w:val="en-US" w:eastAsia="zh-CN"/>
        </w:rPr>
        <w:t>0</w:t>
      </w:r>
      <w:r>
        <w:rPr>
          <w:highlight w:val="yellow"/>
        </w:rPr>
        <w:t>0（北京时间，法定节假日除外）</w:t>
      </w:r>
    </w:p>
    <w:p w14:paraId="2C6CF684">
      <w:pPr>
        <w:spacing w:line="360" w:lineRule="auto"/>
        <w:rPr>
          <w:color w:val="FF0000"/>
        </w:rPr>
      </w:pPr>
      <w:r>
        <w:t>（四）投标文件递交地点：广州市天河区华强路保利克洛维中盈大厦</w:t>
      </w:r>
      <w:r>
        <w:rPr>
          <w:rFonts w:hint="eastAsia"/>
        </w:rPr>
        <w:t>606-</w:t>
      </w:r>
      <w:r>
        <w:t>1。</w:t>
      </w:r>
    </w:p>
    <w:p w14:paraId="2D54E404">
      <w:pPr>
        <w:spacing w:line="360" w:lineRule="auto"/>
      </w:pPr>
      <w:r>
        <w:t>（</w:t>
      </w:r>
      <w:r>
        <w:rPr>
          <w:rFonts w:hint="eastAsia"/>
          <w:lang w:val="en-US" w:eastAsia="zh-Hans"/>
        </w:rPr>
        <w:t>五</w:t>
      </w:r>
      <w:r>
        <w:t>）凭以下资料加盖单位公章：</w:t>
      </w:r>
    </w:p>
    <w:p w14:paraId="7F296599">
      <w:pPr>
        <w:spacing w:line="360" w:lineRule="auto"/>
      </w:pPr>
      <w:r>
        <w:t>1、法人或者其他组织的多证合一营业执照等证明文件；</w:t>
      </w:r>
    </w:p>
    <w:p w14:paraId="25606E4E">
      <w:pPr>
        <w:spacing w:line="360" w:lineRule="auto"/>
      </w:pPr>
      <w:r>
        <w:t>2、法定代表人证明书及身份证复印件；</w:t>
      </w:r>
    </w:p>
    <w:p w14:paraId="65C92A19">
      <w:pPr>
        <w:spacing w:line="360" w:lineRule="auto"/>
      </w:pPr>
      <w:r>
        <w:t>3、法定代表人授权委托书及身份证复印件。（如委托授权则需提供）</w:t>
      </w:r>
    </w:p>
    <w:p w14:paraId="2059F02B">
      <w:pPr>
        <w:spacing w:line="360" w:lineRule="auto"/>
      </w:pPr>
      <w:r>
        <w:t xml:space="preserve"> 备注：（1）以上资料参与正式投标时须放入投标文件中。</w:t>
      </w:r>
    </w:p>
    <w:p w14:paraId="2E182D94">
      <w:pPr>
        <w:spacing w:line="360" w:lineRule="auto"/>
        <w:ind w:firstLine="660" w:firstLineChars="300"/>
      </w:pPr>
      <w:r>
        <w:t>（</w:t>
      </w:r>
      <w:r>
        <w:rPr>
          <w:rFonts w:hint="eastAsia"/>
        </w:rPr>
        <w:t>2</w:t>
      </w:r>
      <w:r>
        <w:t>）分公司投标：供应商为非独立法人(即由合法法人依法建立的分公司），须提供总公司的营业执照副本复印件及总公司对分公司出具的有效授权书。供应商已具有总公司有效授权的，总公司取得的相关资质证书对分公司有效，若法律法规或招标文件另有规定的从其规定。</w:t>
      </w:r>
    </w:p>
    <w:p w14:paraId="33CF2EA9">
      <w:pPr>
        <w:spacing w:line="360" w:lineRule="auto"/>
        <w:rPr>
          <w:b/>
        </w:rPr>
      </w:pPr>
      <w:r>
        <w:rPr>
          <w:b/>
        </w:rPr>
        <w:t>五、公告期限</w:t>
      </w:r>
    </w:p>
    <w:p w14:paraId="5A33ADF4">
      <w:pPr>
        <w:spacing w:line="360" w:lineRule="auto"/>
        <w:rPr>
          <w:highlight w:val="yellow"/>
        </w:rPr>
      </w:pPr>
      <w:r>
        <w:t>自本公告发布之日起 5 个工作日。</w:t>
      </w:r>
      <w:r>
        <w:rPr>
          <w:highlight w:val="yellow"/>
        </w:rPr>
        <w:t>自</w:t>
      </w:r>
      <w:r>
        <w:rPr>
          <w:rFonts w:hint="eastAsia"/>
          <w:highlight w:val="yellow"/>
        </w:rPr>
        <w:t>202</w:t>
      </w:r>
      <w:r>
        <w:rPr>
          <w:rFonts w:hint="eastAsia"/>
          <w:highlight w:val="yellow"/>
          <w:lang w:val="en-US" w:eastAsia="zh-CN"/>
        </w:rPr>
        <w:t>4</w:t>
      </w:r>
      <w:r>
        <w:rPr>
          <w:rFonts w:hint="eastAsia"/>
          <w:highlight w:val="yellow"/>
        </w:rPr>
        <w:t>年</w:t>
      </w:r>
      <w:r>
        <w:rPr>
          <w:rFonts w:hint="eastAsia"/>
          <w:highlight w:val="yellow"/>
          <w:lang w:val="en-US" w:eastAsia="zh-CN"/>
        </w:rPr>
        <w:t>8</w:t>
      </w:r>
      <w:r>
        <w:rPr>
          <w:rFonts w:hint="default"/>
          <w:highlight w:val="yellow"/>
        </w:rPr>
        <w:t>月</w:t>
      </w:r>
      <w:r>
        <w:rPr>
          <w:rFonts w:hint="eastAsia"/>
          <w:highlight w:val="yellow"/>
          <w:lang w:val="en-US" w:eastAsia="zh-CN"/>
        </w:rPr>
        <w:t>5</w:t>
      </w:r>
      <w:r>
        <w:rPr>
          <w:rFonts w:hint="default"/>
          <w:highlight w:val="yellow"/>
        </w:rPr>
        <w:t>日</w:t>
      </w:r>
      <w:r>
        <w:rPr>
          <w:highlight w:val="yellow"/>
        </w:rPr>
        <w:t>至202</w:t>
      </w:r>
      <w:r>
        <w:rPr>
          <w:rFonts w:hint="eastAsia"/>
          <w:highlight w:val="yellow"/>
          <w:lang w:val="en-US" w:eastAsia="zh-CN"/>
        </w:rPr>
        <w:t>4</w:t>
      </w:r>
      <w:r>
        <w:rPr>
          <w:highlight w:val="yellow"/>
        </w:rPr>
        <w:t>年</w:t>
      </w:r>
      <w:r>
        <w:rPr>
          <w:rFonts w:hint="eastAsia"/>
          <w:highlight w:val="yellow"/>
          <w:lang w:val="en-US" w:eastAsia="zh-CN"/>
        </w:rPr>
        <w:t>8</w:t>
      </w:r>
      <w:r>
        <w:rPr>
          <w:highlight w:val="yellow"/>
        </w:rPr>
        <w:t>月</w:t>
      </w:r>
      <w:r>
        <w:rPr>
          <w:rFonts w:hint="eastAsia"/>
          <w:highlight w:val="yellow"/>
          <w:lang w:val="en-US" w:eastAsia="zh-CN"/>
        </w:rPr>
        <w:t>9</w:t>
      </w:r>
      <w:r>
        <w:rPr>
          <w:rFonts w:hint="default"/>
          <w:highlight w:val="yellow"/>
        </w:rPr>
        <w:t>日</w:t>
      </w:r>
      <w:r>
        <w:rPr>
          <w:rFonts w:hint="eastAsia"/>
          <w:highlight w:val="yellow"/>
          <w:lang w:val="en-US" w:eastAsia="zh-CN"/>
        </w:rPr>
        <w:t>12:00</w:t>
      </w:r>
      <w:r>
        <w:rPr>
          <w:highlight w:val="yellow"/>
        </w:rPr>
        <w:t>止。</w:t>
      </w:r>
    </w:p>
    <w:p w14:paraId="16925C0A">
      <w:pPr>
        <w:spacing w:line="360" w:lineRule="auto"/>
      </w:pPr>
      <w:r>
        <w:rPr>
          <w:b/>
        </w:rPr>
        <w:t>六、本项目相关公告在以下媒体发布</w:t>
      </w:r>
    </w:p>
    <w:p w14:paraId="092E1538">
      <w:pPr>
        <w:spacing w:line="360" w:lineRule="auto"/>
      </w:pPr>
      <w:r>
        <w:t>广州</w:t>
      </w:r>
      <w:r>
        <w:rPr>
          <w:rFonts w:hint="eastAsia"/>
          <w:lang w:eastAsia="zh-CN"/>
        </w:rPr>
        <w:t>医科大学附属妇女儿童医疗</w:t>
      </w:r>
      <w:r>
        <w:t>中心网站  http</w:t>
      </w:r>
      <w:r>
        <w:rPr>
          <w:rFonts w:hint="eastAsia"/>
          <w:lang w:val="en-US" w:eastAsia="zh-Hans"/>
        </w:rPr>
        <w:t>s</w:t>
      </w:r>
      <w:r>
        <w:t>://www.gzfezx.com/</w:t>
      </w:r>
    </w:p>
    <w:p w14:paraId="6391E80D">
      <w:pPr>
        <w:spacing w:line="360" w:lineRule="auto"/>
        <w:rPr>
          <w:b/>
        </w:rPr>
      </w:pPr>
      <w:r>
        <w:rPr>
          <w:b/>
        </w:rPr>
        <w:t>七、对本次招标提出询问，请按以下方式联系。</w:t>
      </w:r>
    </w:p>
    <w:p w14:paraId="40B92652">
      <w:pPr>
        <w:spacing w:line="360" w:lineRule="auto"/>
      </w:pPr>
      <w:r>
        <w:t>采购人信息</w:t>
      </w:r>
    </w:p>
    <w:p w14:paraId="7979BAAB">
      <w:pPr>
        <w:spacing w:line="360" w:lineRule="auto"/>
      </w:pPr>
      <w:r>
        <w:t>名称：</w:t>
      </w:r>
      <w:r>
        <w:rPr>
          <w:rFonts w:hint="eastAsia"/>
        </w:rPr>
        <w:t>广州医科大学附属妇女儿童医疗中心</w:t>
      </w:r>
    </w:p>
    <w:p w14:paraId="3BEBA61C">
      <w:pPr>
        <w:spacing w:line="360" w:lineRule="auto"/>
      </w:pPr>
      <w:r>
        <w:t>地址：广州市天河区华强路保利克洛维中盈大厦</w:t>
      </w:r>
      <w:r>
        <w:rPr>
          <w:rFonts w:hint="eastAsia"/>
        </w:rPr>
        <w:t>606-</w:t>
      </w:r>
      <w:r>
        <w:t>1</w:t>
      </w:r>
    </w:p>
    <w:p w14:paraId="3C7AA6FF">
      <w:pPr>
        <w:spacing w:line="360" w:lineRule="auto"/>
      </w:pPr>
      <w:r>
        <w:t>联系方式：020-</w:t>
      </w:r>
      <w:r>
        <w:rPr>
          <w:rFonts w:hint="eastAsia"/>
        </w:rPr>
        <w:t>38367232</w:t>
      </w:r>
    </w:p>
    <w:p w14:paraId="4E7A04AD">
      <w:pPr>
        <w:spacing w:line="360" w:lineRule="auto"/>
      </w:pPr>
    </w:p>
    <w:p w14:paraId="34ACF4EE">
      <w:pPr>
        <w:spacing w:line="360" w:lineRule="auto"/>
      </w:pPr>
      <w:r>
        <w:t>发布人：</w:t>
      </w:r>
      <w:r>
        <w:rPr>
          <w:rFonts w:hint="eastAsia"/>
        </w:rPr>
        <w:t>广州医科大学附属妇女儿童医疗中心</w:t>
      </w:r>
    </w:p>
    <w:p w14:paraId="2F2EE4E7">
      <w:pPr>
        <w:spacing w:line="360" w:lineRule="auto"/>
        <w:rPr>
          <w:highlight w:val="yellow"/>
        </w:rPr>
      </w:pPr>
      <w:r>
        <w:rPr>
          <w:highlight w:val="yellow"/>
        </w:rPr>
        <w:t>发布时间：202</w:t>
      </w:r>
      <w:r>
        <w:rPr>
          <w:rFonts w:hint="eastAsia"/>
          <w:highlight w:val="yellow"/>
          <w:lang w:val="en-US" w:eastAsia="zh-CN"/>
        </w:rPr>
        <w:t>4</w:t>
      </w:r>
      <w:r>
        <w:rPr>
          <w:highlight w:val="yellow"/>
        </w:rPr>
        <w:t>年</w:t>
      </w:r>
      <w:r>
        <w:rPr>
          <w:rFonts w:hint="eastAsia"/>
          <w:highlight w:val="yellow"/>
          <w:lang w:val="en-US" w:eastAsia="zh-CN"/>
        </w:rPr>
        <w:t>8</w:t>
      </w:r>
      <w:r>
        <w:rPr>
          <w:highlight w:val="yellow"/>
        </w:rPr>
        <w:t>月</w:t>
      </w:r>
      <w:r>
        <w:rPr>
          <w:rFonts w:hint="eastAsia"/>
          <w:highlight w:val="yellow"/>
          <w:lang w:val="en-US" w:eastAsia="zh-CN"/>
        </w:rPr>
        <w:t>5</w:t>
      </w:r>
      <w:r>
        <w:rPr>
          <w:highlight w:val="yellow"/>
        </w:rPr>
        <w:t>日</w:t>
      </w:r>
    </w:p>
    <w:p w14:paraId="2B21C83D">
      <w:pPr>
        <w:spacing w:line="360" w:lineRule="auto"/>
        <w:sectPr>
          <w:pgSz w:w="11910" w:h="16840"/>
          <w:pgMar w:top="1360" w:right="1340" w:bottom="1420" w:left="1020" w:header="567" w:footer="1216" w:gutter="0"/>
          <w:pgNumType w:fmt="decimal"/>
          <w:cols w:space="720" w:num="1"/>
        </w:sectPr>
      </w:pPr>
    </w:p>
    <w:p w14:paraId="29291728">
      <w:pPr>
        <w:pStyle w:val="5"/>
        <w:rPr>
          <w:sz w:val="20"/>
        </w:rPr>
      </w:pPr>
    </w:p>
    <w:p w14:paraId="0208669B">
      <w:pPr>
        <w:pStyle w:val="5"/>
        <w:rPr>
          <w:sz w:val="20"/>
        </w:rPr>
      </w:pPr>
    </w:p>
    <w:p w14:paraId="7F330190">
      <w:pPr>
        <w:pStyle w:val="5"/>
        <w:rPr>
          <w:sz w:val="20"/>
        </w:rPr>
      </w:pPr>
    </w:p>
    <w:p w14:paraId="3F9E8F4A">
      <w:pPr>
        <w:pStyle w:val="5"/>
        <w:rPr>
          <w:sz w:val="20"/>
        </w:rPr>
      </w:pPr>
    </w:p>
    <w:p w14:paraId="581EF8CE">
      <w:pPr>
        <w:pStyle w:val="5"/>
        <w:rPr>
          <w:sz w:val="20"/>
        </w:rPr>
      </w:pPr>
    </w:p>
    <w:p w14:paraId="18EBE555">
      <w:pPr>
        <w:pStyle w:val="5"/>
        <w:rPr>
          <w:sz w:val="20"/>
        </w:rPr>
      </w:pPr>
    </w:p>
    <w:p w14:paraId="2700BABB">
      <w:pPr>
        <w:pStyle w:val="5"/>
        <w:rPr>
          <w:sz w:val="20"/>
        </w:rPr>
      </w:pPr>
    </w:p>
    <w:p w14:paraId="66EB6B8E">
      <w:pPr>
        <w:pStyle w:val="5"/>
        <w:rPr>
          <w:sz w:val="20"/>
        </w:rPr>
      </w:pPr>
    </w:p>
    <w:p w14:paraId="691D14BD">
      <w:pPr>
        <w:pStyle w:val="5"/>
        <w:rPr>
          <w:sz w:val="20"/>
        </w:rPr>
      </w:pPr>
    </w:p>
    <w:p w14:paraId="2A330B57">
      <w:pPr>
        <w:pStyle w:val="5"/>
        <w:rPr>
          <w:sz w:val="20"/>
        </w:rPr>
      </w:pPr>
    </w:p>
    <w:p w14:paraId="10032E35">
      <w:pPr>
        <w:pStyle w:val="5"/>
        <w:rPr>
          <w:sz w:val="20"/>
        </w:rPr>
      </w:pPr>
    </w:p>
    <w:p w14:paraId="3C84A8FB">
      <w:pPr>
        <w:pStyle w:val="5"/>
        <w:rPr>
          <w:sz w:val="20"/>
        </w:rPr>
      </w:pPr>
    </w:p>
    <w:p w14:paraId="166D7386">
      <w:pPr>
        <w:pStyle w:val="5"/>
        <w:rPr>
          <w:sz w:val="20"/>
        </w:rPr>
      </w:pPr>
    </w:p>
    <w:p w14:paraId="2B7BFE8E">
      <w:pPr>
        <w:pStyle w:val="5"/>
        <w:rPr>
          <w:sz w:val="20"/>
        </w:rPr>
      </w:pPr>
    </w:p>
    <w:p w14:paraId="5EED70B6">
      <w:pPr>
        <w:pStyle w:val="5"/>
        <w:rPr>
          <w:sz w:val="20"/>
        </w:rPr>
      </w:pPr>
    </w:p>
    <w:p w14:paraId="06CC94CF">
      <w:pPr>
        <w:pStyle w:val="5"/>
        <w:rPr>
          <w:sz w:val="20"/>
        </w:rPr>
      </w:pPr>
    </w:p>
    <w:p w14:paraId="4137023D">
      <w:pPr>
        <w:pStyle w:val="5"/>
        <w:rPr>
          <w:sz w:val="20"/>
        </w:rPr>
      </w:pPr>
    </w:p>
    <w:p w14:paraId="617F7674">
      <w:pPr>
        <w:pStyle w:val="5"/>
        <w:rPr>
          <w:sz w:val="20"/>
        </w:rPr>
      </w:pPr>
    </w:p>
    <w:p w14:paraId="31CFFC5B">
      <w:pPr>
        <w:pStyle w:val="5"/>
        <w:rPr>
          <w:sz w:val="20"/>
        </w:rPr>
      </w:pPr>
    </w:p>
    <w:p w14:paraId="13184627">
      <w:pPr>
        <w:pStyle w:val="5"/>
        <w:rPr>
          <w:sz w:val="20"/>
        </w:rPr>
      </w:pPr>
    </w:p>
    <w:p w14:paraId="17D84366">
      <w:pPr>
        <w:pStyle w:val="5"/>
        <w:rPr>
          <w:sz w:val="20"/>
        </w:rPr>
      </w:pPr>
    </w:p>
    <w:p w14:paraId="3EE2D99D">
      <w:pPr>
        <w:pStyle w:val="5"/>
        <w:rPr>
          <w:sz w:val="20"/>
        </w:rPr>
      </w:pPr>
    </w:p>
    <w:p w14:paraId="5EC7716F">
      <w:pPr>
        <w:pStyle w:val="3"/>
        <w:spacing w:before="187"/>
      </w:pPr>
      <w:bookmarkStart w:id="1" w:name="_bookmark1"/>
      <w:bookmarkEnd w:id="1"/>
      <w:r>
        <w:t>第二章 投标人须知</w:t>
      </w:r>
    </w:p>
    <w:p w14:paraId="7BB31A71">
      <w:pPr>
        <w:sectPr>
          <w:headerReference r:id="rId6" w:type="default"/>
          <w:pgSz w:w="11910" w:h="16840"/>
          <w:pgMar w:top="1360" w:right="1340" w:bottom="1420" w:left="1020" w:header="567" w:footer="1216" w:gutter="0"/>
          <w:pgNumType w:fmt="decimal"/>
          <w:cols w:space="720" w:num="1"/>
        </w:sectPr>
      </w:pPr>
    </w:p>
    <w:p w14:paraId="65B9EB8B">
      <w:pPr>
        <w:pStyle w:val="5"/>
        <w:rPr>
          <w:b/>
          <w:sz w:val="8"/>
        </w:rPr>
      </w:pPr>
    </w:p>
    <w:p w14:paraId="70721D65">
      <w:pPr>
        <w:spacing w:before="58"/>
        <w:ind w:left="839" w:right="899"/>
        <w:jc w:val="center"/>
        <w:rPr>
          <w:b/>
          <w:sz w:val="30"/>
        </w:rPr>
      </w:pPr>
      <w:bookmarkStart w:id="2" w:name="_bookmark2"/>
      <w:bookmarkEnd w:id="2"/>
      <w:r>
        <w:rPr>
          <w:b/>
          <w:sz w:val="30"/>
        </w:rPr>
        <w:t>须知前附表</w:t>
      </w:r>
    </w:p>
    <w:p w14:paraId="57D0BEB4">
      <w:pPr>
        <w:pStyle w:val="5"/>
        <w:spacing w:before="1"/>
        <w:rPr>
          <w:b/>
        </w:rPr>
      </w:pPr>
    </w:p>
    <w:p w14:paraId="265A9A05">
      <w:pPr>
        <w:pStyle w:val="5"/>
        <w:spacing w:line="417" w:lineRule="auto"/>
        <w:ind w:left="398" w:right="765" w:firstLine="420"/>
      </w:pPr>
      <w:r>
        <w:rPr>
          <w:lang w:val="en-US" w:bidi="ar-SA"/>
        </w:rPr>
        <mc:AlternateContent>
          <mc:Choice Requires="wps">
            <w:drawing>
              <wp:anchor distT="0" distB="0" distL="114300" distR="114300" simplePos="0" relativeHeight="251661312" behindDoc="0" locked="0" layoutInCell="1" allowOverlap="1">
                <wp:simplePos x="0" y="0"/>
                <wp:positionH relativeFrom="page">
                  <wp:posOffset>949325</wp:posOffset>
                </wp:positionH>
                <wp:positionV relativeFrom="paragraph">
                  <wp:posOffset>530860</wp:posOffset>
                </wp:positionV>
                <wp:extent cx="5427980" cy="774001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5427980" cy="7740015"/>
                        </a:xfrm>
                        <a:prstGeom prst="rect">
                          <a:avLst/>
                        </a:prstGeom>
                        <a:noFill/>
                        <a:ln>
                          <a:noFill/>
                        </a:ln>
                        <a:effectLst/>
                      </wps:spPr>
                      <wps:txbx>
                        <w:txbxContent>
                          <w:tbl>
                            <w:tblPr>
                              <w:tblStyle w:val="10"/>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33"/>
                              <w:gridCol w:w="7372"/>
                            </w:tblGrid>
                            <w:tr w14:paraId="259A401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361" w:hRule="atLeast"/>
                              </w:trPr>
                              <w:tc>
                                <w:tcPr>
                                  <w:tcW w:w="1133" w:type="dxa"/>
                                  <w:tcBorders>
                                    <w:bottom w:val="single" w:color="000000" w:sz="6" w:space="0"/>
                                    <w:right w:val="single" w:color="000000" w:sz="6" w:space="0"/>
                                  </w:tcBorders>
                                  <w:shd w:val="clear" w:color="auto" w:fill="CCFFFF"/>
                                  <w:noWrap w:val="0"/>
                                  <w:vAlign w:val="top"/>
                                </w:tcPr>
                                <w:p w14:paraId="5228598A">
                                  <w:pPr>
                                    <w:pStyle w:val="15"/>
                                    <w:spacing w:before="79" w:line="262" w:lineRule="exact"/>
                                    <w:ind w:left="124" w:right="103"/>
                                    <w:jc w:val="center"/>
                                    <w:rPr>
                                      <w:b/>
                                      <w:sz w:val="21"/>
                                    </w:rPr>
                                  </w:pPr>
                                  <w:r>
                                    <w:rPr>
                                      <w:b/>
                                      <w:sz w:val="21"/>
                                    </w:rPr>
                                    <w:t>条款项号</w:t>
                                  </w:r>
                                </w:p>
                              </w:tc>
                              <w:tc>
                                <w:tcPr>
                                  <w:tcW w:w="7372" w:type="dxa"/>
                                  <w:tcBorders>
                                    <w:left w:val="single" w:color="000000" w:sz="6" w:space="0"/>
                                    <w:bottom w:val="single" w:color="000000" w:sz="6" w:space="0"/>
                                  </w:tcBorders>
                                  <w:shd w:val="clear" w:color="auto" w:fill="CCFFFF"/>
                                  <w:noWrap w:val="0"/>
                                  <w:vAlign w:val="top"/>
                                </w:tcPr>
                                <w:p w14:paraId="1775454D">
                                  <w:pPr>
                                    <w:pStyle w:val="15"/>
                                    <w:spacing w:before="79" w:line="262" w:lineRule="exact"/>
                                    <w:ind w:left="3459" w:right="3427"/>
                                    <w:jc w:val="center"/>
                                    <w:rPr>
                                      <w:b/>
                                      <w:sz w:val="21"/>
                                    </w:rPr>
                                  </w:pPr>
                                  <w:r>
                                    <w:rPr>
                                      <w:b/>
                                      <w:sz w:val="21"/>
                                    </w:rPr>
                                    <w:t>内容</w:t>
                                  </w:r>
                                </w:p>
                              </w:tc>
                            </w:tr>
                            <w:tr w14:paraId="4F5903F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196BBC2E">
                                  <w:pPr>
                                    <w:pStyle w:val="15"/>
                                    <w:spacing w:before="77" w:line="262" w:lineRule="exact"/>
                                    <w:ind w:left="3283" w:right="3253"/>
                                    <w:jc w:val="center"/>
                                    <w:rPr>
                                      <w:b/>
                                      <w:sz w:val="21"/>
                                    </w:rPr>
                                  </w:pPr>
                                  <w:r>
                                    <w:rPr>
                                      <w:b/>
                                      <w:sz w:val="21"/>
                                    </w:rPr>
                                    <w:t>一、说明</w:t>
                                  </w:r>
                                </w:p>
                              </w:tc>
                            </w:tr>
                            <w:tr w14:paraId="4E01DB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4" w:hRule="atLeast"/>
                              </w:trPr>
                              <w:tc>
                                <w:tcPr>
                                  <w:tcW w:w="1133" w:type="dxa"/>
                                  <w:tcBorders>
                                    <w:top w:val="single" w:color="000000" w:sz="6" w:space="0"/>
                                    <w:bottom w:val="single" w:color="000000" w:sz="6" w:space="0"/>
                                    <w:right w:val="single" w:color="000000" w:sz="6" w:space="0"/>
                                  </w:tcBorders>
                                  <w:noWrap w:val="0"/>
                                  <w:vAlign w:val="center"/>
                                </w:tcPr>
                                <w:p w14:paraId="132959DD">
                                  <w:pPr>
                                    <w:pStyle w:val="15"/>
                                    <w:ind w:left="124" w:right="103"/>
                                    <w:jc w:val="center"/>
                                    <w:rPr>
                                      <w:sz w:val="21"/>
                                    </w:rPr>
                                  </w:pPr>
                                  <w:r>
                                    <w:rPr>
                                      <w:sz w:val="21"/>
                                    </w:rPr>
                                    <w:t>2.3</w:t>
                                  </w:r>
                                </w:p>
                              </w:tc>
                              <w:tc>
                                <w:tcPr>
                                  <w:tcW w:w="7372" w:type="dxa"/>
                                  <w:tcBorders>
                                    <w:top w:val="single" w:color="000000" w:sz="6" w:space="0"/>
                                    <w:left w:val="single" w:color="000000" w:sz="6" w:space="0"/>
                                    <w:bottom w:val="single" w:color="000000" w:sz="6" w:space="0"/>
                                  </w:tcBorders>
                                  <w:noWrap w:val="0"/>
                                  <w:vAlign w:val="top"/>
                                </w:tcPr>
                                <w:p w14:paraId="784CCCC5">
                                  <w:pPr>
                                    <w:pStyle w:val="15"/>
                                    <w:spacing w:before="77" w:line="240" w:lineRule="auto"/>
                                    <w:ind w:left="112"/>
                                    <w:rPr>
                                      <w:rFonts w:hint="eastAsia" w:eastAsia="宋体"/>
                                      <w:sz w:val="21"/>
                                      <w:lang w:eastAsia="zh-CN"/>
                                    </w:rPr>
                                  </w:pPr>
                                  <w:r>
                                    <w:rPr>
                                      <w:sz w:val="21"/>
                                    </w:rPr>
                                    <w:t>采购人名称：</w:t>
                                  </w:r>
                                  <w:r>
                                    <w:rPr>
                                      <w:rFonts w:hint="eastAsia"/>
                                      <w:sz w:val="21"/>
                                      <w:lang w:eastAsia="zh-CN"/>
                                    </w:rPr>
                                    <w:t>广州医科大学附属妇女儿童医疗中心</w:t>
                                  </w:r>
                                </w:p>
                              </w:tc>
                            </w:tr>
                            <w:tr w14:paraId="58F69D9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8" w:hRule="atLeast"/>
                              </w:trPr>
                              <w:tc>
                                <w:tcPr>
                                  <w:tcW w:w="1133" w:type="dxa"/>
                                  <w:tcBorders>
                                    <w:top w:val="single" w:color="000000" w:sz="6" w:space="0"/>
                                    <w:bottom w:val="single" w:color="000000" w:sz="6" w:space="0"/>
                                    <w:right w:val="single" w:color="000000" w:sz="6" w:space="0"/>
                                  </w:tcBorders>
                                  <w:noWrap w:val="0"/>
                                  <w:vAlign w:val="top"/>
                                </w:tcPr>
                                <w:p w14:paraId="08BB18D2">
                                  <w:pPr>
                                    <w:pStyle w:val="15"/>
                                    <w:ind w:left="124" w:right="103"/>
                                    <w:jc w:val="center"/>
                                    <w:rPr>
                                      <w:sz w:val="21"/>
                                    </w:rPr>
                                  </w:pPr>
                                  <w:r>
                                    <w:rPr>
                                      <w:sz w:val="21"/>
                                    </w:rPr>
                                    <w:t>2.4</w:t>
                                  </w:r>
                                </w:p>
                              </w:tc>
                              <w:tc>
                                <w:tcPr>
                                  <w:tcW w:w="7372" w:type="dxa"/>
                                  <w:tcBorders>
                                    <w:top w:val="single" w:color="000000" w:sz="6" w:space="0"/>
                                    <w:left w:val="single" w:color="000000" w:sz="6" w:space="0"/>
                                    <w:bottom w:val="single" w:color="000000" w:sz="6" w:space="0"/>
                                  </w:tcBorders>
                                  <w:noWrap w:val="0"/>
                                  <w:vAlign w:val="top"/>
                                </w:tcPr>
                                <w:p w14:paraId="3AE8EF2F">
                                  <w:pPr>
                                    <w:pStyle w:val="15"/>
                                    <w:spacing w:line="258" w:lineRule="exact"/>
                                    <w:ind w:left="112"/>
                                    <w:rPr>
                                      <w:sz w:val="21"/>
                                    </w:rPr>
                                  </w:pPr>
                                  <w:r>
                                    <w:rPr>
                                      <w:rFonts w:hint="eastAsia"/>
                                      <w:sz w:val="21"/>
                                    </w:rPr>
                                    <w:t>院内</w:t>
                                  </w:r>
                                  <w:r>
                                    <w:rPr>
                                      <w:sz w:val="21"/>
                                    </w:rPr>
                                    <w:t>招标</w:t>
                                  </w:r>
                                </w:p>
                              </w:tc>
                            </w:tr>
                            <w:tr w14:paraId="11FE96C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1" w:hRule="atLeast"/>
                              </w:trPr>
                              <w:tc>
                                <w:tcPr>
                                  <w:tcW w:w="8505" w:type="dxa"/>
                                  <w:gridSpan w:val="2"/>
                                  <w:tcBorders>
                                    <w:top w:val="single" w:color="000000" w:sz="6" w:space="0"/>
                                    <w:bottom w:val="single" w:color="000000" w:sz="6" w:space="0"/>
                                  </w:tcBorders>
                                  <w:noWrap w:val="0"/>
                                  <w:vAlign w:val="top"/>
                                </w:tcPr>
                                <w:p w14:paraId="2118073A">
                                  <w:pPr>
                                    <w:pStyle w:val="15"/>
                                    <w:spacing w:before="77" w:line="262" w:lineRule="exact"/>
                                    <w:ind w:left="3283" w:right="3253"/>
                                    <w:jc w:val="center"/>
                                    <w:rPr>
                                      <w:b/>
                                      <w:sz w:val="21"/>
                                    </w:rPr>
                                  </w:pPr>
                                  <w:r>
                                    <w:rPr>
                                      <w:b/>
                                      <w:sz w:val="21"/>
                                    </w:rPr>
                                    <w:t>二、招标文件</w:t>
                                  </w:r>
                                </w:p>
                              </w:tc>
                            </w:tr>
                            <w:tr w14:paraId="4FA74AC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1133" w:type="dxa"/>
                                  <w:tcBorders>
                                    <w:top w:val="single" w:color="000000" w:sz="6" w:space="0"/>
                                    <w:bottom w:val="single" w:color="000000" w:sz="6" w:space="0"/>
                                    <w:right w:val="single" w:color="000000" w:sz="6" w:space="0"/>
                                  </w:tcBorders>
                                  <w:noWrap w:val="0"/>
                                  <w:vAlign w:val="top"/>
                                </w:tcPr>
                                <w:p w14:paraId="488E885F">
                                  <w:pPr>
                                    <w:pStyle w:val="15"/>
                                    <w:spacing w:before="58"/>
                                    <w:ind w:left="124" w:right="103"/>
                                    <w:jc w:val="center"/>
                                    <w:rPr>
                                      <w:sz w:val="21"/>
                                    </w:rPr>
                                  </w:pPr>
                                  <w:r>
                                    <w:rPr>
                                      <w:sz w:val="21"/>
                                    </w:rPr>
                                    <w:t>9.3</w:t>
                                  </w:r>
                                </w:p>
                              </w:tc>
                              <w:tc>
                                <w:tcPr>
                                  <w:tcW w:w="7372" w:type="dxa"/>
                                  <w:tcBorders>
                                    <w:top w:val="single" w:color="000000" w:sz="6" w:space="0"/>
                                    <w:left w:val="single" w:color="000000" w:sz="6" w:space="0"/>
                                    <w:bottom w:val="single" w:color="000000" w:sz="6" w:space="0"/>
                                  </w:tcBorders>
                                  <w:noWrap w:val="0"/>
                                  <w:vAlign w:val="top"/>
                                </w:tcPr>
                                <w:p w14:paraId="0C3D52BA">
                                  <w:pPr>
                                    <w:pStyle w:val="15"/>
                                    <w:spacing w:before="97" w:line="264" w:lineRule="exact"/>
                                    <w:ind w:left="112"/>
                                    <w:rPr>
                                      <w:sz w:val="21"/>
                                    </w:rPr>
                                  </w:pPr>
                                  <w:r>
                                    <w:rPr>
                                      <w:sz w:val="21"/>
                                    </w:rPr>
                                    <w:t>集中答疑会或现场考察：不举行</w:t>
                                  </w:r>
                                </w:p>
                              </w:tc>
                            </w:tr>
                            <w:tr w14:paraId="0365A93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0" w:hRule="atLeast"/>
                              </w:trPr>
                              <w:tc>
                                <w:tcPr>
                                  <w:tcW w:w="1133" w:type="dxa"/>
                                  <w:tcBorders>
                                    <w:top w:val="single" w:color="000000" w:sz="6" w:space="0"/>
                                    <w:bottom w:val="single" w:color="000000" w:sz="6" w:space="0"/>
                                    <w:right w:val="single" w:color="000000" w:sz="6" w:space="0"/>
                                  </w:tcBorders>
                                  <w:noWrap w:val="0"/>
                                  <w:vAlign w:val="top"/>
                                </w:tcPr>
                                <w:p w14:paraId="50D57EC5">
                                  <w:pPr>
                                    <w:pStyle w:val="15"/>
                                    <w:spacing w:before="4"/>
                                    <w:rPr>
                                      <w:sz w:val="19"/>
                                    </w:rPr>
                                  </w:pPr>
                                </w:p>
                                <w:p w14:paraId="0A62CAA2">
                                  <w:pPr>
                                    <w:pStyle w:val="15"/>
                                    <w:ind w:left="124" w:right="103"/>
                                    <w:jc w:val="center"/>
                                    <w:rPr>
                                      <w:sz w:val="21"/>
                                    </w:rPr>
                                  </w:pPr>
                                  <w:r>
                                    <w:rPr>
                                      <w:sz w:val="21"/>
                                    </w:rPr>
                                    <w:t>10.2</w:t>
                                  </w:r>
                                </w:p>
                              </w:tc>
                              <w:tc>
                                <w:tcPr>
                                  <w:tcW w:w="7372" w:type="dxa"/>
                                  <w:tcBorders>
                                    <w:top w:val="single" w:color="000000" w:sz="6" w:space="0"/>
                                    <w:left w:val="single" w:color="000000" w:sz="6" w:space="0"/>
                                    <w:bottom w:val="single" w:color="000000" w:sz="6" w:space="0"/>
                                  </w:tcBorders>
                                  <w:noWrap w:val="0"/>
                                  <w:vAlign w:val="top"/>
                                </w:tcPr>
                                <w:p w14:paraId="3AAA2CA6">
                                  <w:pPr>
                                    <w:pStyle w:val="15"/>
                                    <w:spacing w:before="94"/>
                                    <w:ind w:left="112"/>
                                    <w:rPr>
                                      <w:sz w:val="21"/>
                                    </w:rPr>
                                  </w:pPr>
                                  <w:r>
                                    <w:rPr>
                                      <w:sz w:val="21"/>
                                    </w:rPr>
                                    <w:t>招标文件进行澄清或修改时间距投标截止时间不足</w:t>
                                  </w:r>
                                  <w:r>
                                    <w:rPr>
                                      <w:rFonts w:hint="eastAsia"/>
                                      <w:sz w:val="21"/>
                                    </w:rPr>
                                    <w:t>三</w:t>
                                  </w:r>
                                  <w:r>
                                    <w:rPr>
                                      <w:sz w:val="21"/>
                                    </w:rPr>
                                    <w:t>日时，应当顺延投标文</w:t>
                                  </w:r>
                                </w:p>
                                <w:p w14:paraId="44D5CCC9">
                                  <w:pPr>
                                    <w:pStyle w:val="15"/>
                                    <w:spacing w:before="113" w:line="264" w:lineRule="exact"/>
                                    <w:ind w:left="112"/>
                                    <w:rPr>
                                      <w:sz w:val="21"/>
                                    </w:rPr>
                                  </w:pPr>
                                  <w:r>
                                    <w:rPr>
                                      <w:sz w:val="21"/>
                                    </w:rPr>
                                    <w:t>件的截止时间。</w:t>
                                  </w:r>
                                </w:p>
                              </w:tc>
                            </w:tr>
                            <w:tr w14:paraId="738F6FD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6463A641">
                                  <w:pPr>
                                    <w:pStyle w:val="15"/>
                                    <w:spacing w:before="77" w:line="262" w:lineRule="exact"/>
                                    <w:ind w:left="3283" w:right="3253"/>
                                    <w:jc w:val="center"/>
                                    <w:rPr>
                                      <w:b/>
                                      <w:sz w:val="21"/>
                                    </w:rPr>
                                  </w:pPr>
                                  <w:r>
                                    <w:rPr>
                                      <w:b/>
                                      <w:sz w:val="21"/>
                                    </w:rPr>
                                    <w:t>三、投标文件的编制</w:t>
                                  </w:r>
                                </w:p>
                              </w:tc>
                            </w:tr>
                            <w:tr w14:paraId="074C33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0" w:hRule="atLeast"/>
                              </w:trPr>
                              <w:tc>
                                <w:tcPr>
                                  <w:tcW w:w="1133" w:type="dxa"/>
                                  <w:tcBorders>
                                    <w:top w:val="single" w:color="000000" w:sz="6" w:space="0"/>
                                    <w:bottom w:val="single" w:color="000000" w:sz="6" w:space="0"/>
                                    <w:right w:val="single" w:color="000000" w:sz="6" w:space="0"/>
                                  </w:tcBorders>
                                  <w:noWrap w:val="0"/>
                                  <w:vAlign w:val="top"/>
                                </w:tcPr>
                                <w:p w14:paraId="65523B28">
                                  <w:pPr>
                                    <w:pStyle w:val="15"/>
                                    <w:spacing w:before="4"/>
                                    <w:rPr>
                                      <w:sz w:val="19"/>
                                    </w:rPr>
                                  </w:pPr>
                                </w:p>
                                <w:p w14:paraId="16BA8A43">
                                  <w:pPr>
                                    <w:pStyle w:val="15"/>
                                    <w:ind w:left="124" w:right="103"/>
                                    <w:jc w:val="center"/>
                                    <w:rPr>
                                      <w:sz w:val="21"/>
                                    </w:rPr>
                                  </w:pPr>
                                  <w:r>
                                    <w:rPr>
                                      <w:sz w:val="21"/>
                                    </w:rPr>
                                    <w:t>14.7</w:t>
                                  </w:r>
                                </w:p>
                              </w:tc>
                              <w:tc>
                                <w:tcPr>
                                  <w:tcW w:w="7372" w:type="dxa"/>
                                  <w:tcBorders>
                                    <w:top w:val="single" w:color="000000" w:sz="6" w:space="0"/>
                                    <w:left w:val="single" w:color="000000" w:sz="6" w:space="0"/>
                                    <w:bottom w:val="single" w:color="000000" w:sz="6" w:space="0"/>
                                  </w:tcBorders>
                                  <w:noWrap w:val="0"/>
                                  <w:vAlign w:val="top"/>
                                </w:tcPr>
                                <w:p w14:paraId="0C28DB2B">
                                  <w:pPr>
                                    <w:pStyle w:val="15"/>
                                    <w:spacing w:before="94"/>
                                    <w:ind w:left="112"/>
                                    <w:rPr>
                                      <w:sz w:val="21"/>
                                    </w:rPr>
                                  </w:pPr>
                                  <w:r>
                                    <w:rPr>
                                      <w:sz w:val="21"/>
                                    </w:rPr>
                                    <w:t>投标人所报的投标价在合同执行过程中是固定不变的，不得以任何理由予以变</w:t>
                                  </w:r>
                                </w:p>
                                <w:p w14:paraId="2260E83E">
                                  <w:pPr>
                                    <w:pStyle w:val="15"/>
                                    <w:spacing w:before="113" w:line="264" w:lineRule="exact"/>
                                    <w:ind w:left="112"/>
                                    <w:rPr>
                                      <w:sz w:val="21"/>
                                    </w:rPr>
                                  </w:pPr>
                                  <w:r>
                                    <w:rPr>
                                      <w:sz w:val="21"/>
                                    </w:rPr>
                                    <w:t>更。</w:t>
                                  </w:r>
                                </w:p>
                              </w:tc>
                            </w:tr>
                            <w:tr w14:paraId="016CE5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133" w:type="dxa"/>
                                  <w:tcBorders>
                                    <w:top w:val="single" w:color="000000" w:sz="6" w:space="0"/>
                                    <w:bottom w:val="single" w:color="000000" w:sz="6" w:space="0"/>
                                    <w:right w:val="single" w:color="000000" w:sz="6" w:space="0"/>
                                  </w:tcBorders>
                                  <w:noWrap w:val="0"/>
                                  <w:vAlign w:val="top"/>
                                </w:tcPr>
                                <w:p w14:paraId="617A4037">
                                  <w:pPr>
                                    <w:pStyle w:val="15"/>
                                    <w:spacing w:before="22"/>
                                    <w:ind w:left="124" w:right="103"/>
                                    <w:jc w:val="center"/>
                                    <w:rPr>
                                      <w:sz w:val="21"/>
                                    </w:rPr>
                                  </w:pPr>
                                  <w:r>
                                    <w:rPr>
                                      <w:sz w:val="21"/>
                                    </w:rPr>
                                    <w:t>14.8</w:t>
                                  </w:r>
                                </w:p>
                              </w:tc>
                              <w:tc>
                                <w:tcPr>
                                  <w:tcW w:w="7372" w:type="dxa"/>
                                  <w:tcBorders>
                                    <w:top w:val="single" w:color="000000" w:sz="6" w:space="0"/>
                                    <w:left w:val="single" w:color="000000" w:sz="6" w:space="0"/>
                                    <w:bottom w:val="single" w:color="000000" w:sz="6" w:space="0"/>
                                  </w:tcBorders>
                                  <w:noWrap w:val="0"/>
                                  <w:vAlign w:val="top"/>
                                </w:tcPr>
                                <w:p w14:paraId="26324D5F">
                                  <w:pPr>
                                    <w:pStyle w:val="15"/>
                                    <w:spacing w:before="22"/>
                                    <w:ind w:left="112"/>
                                    <w:rPr>
                                      <w:sz w:val="21"/>
                                    </w:rPr>
                                  </w:pPr>
                                  <w:r>
                                    <w:rPr>
                                      <w:sz w:val="21"/>
                                    </w:rPr>
                                    <w:t>不允许有备选方案。</w:t>
                                  </w:r>
                                </w:p>
                              </w:tc>
                            </w:tr>
                            <w:tr w14:paraId="4650A57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trPr>
                              <w:tc>
                                <w:tcPr>
                                  <w:tcW w:w="1133" w:type="dxa"/>
                                  <w:tcBorders>
                                    <w:top w:val="single" w:color="000000" w:sz="6" w:space="0"/>
                                    <w:bottom w:val="single" w:color="000000" w:sz="6" w:space="0"/>
                                    <w:right w:val="single" w:color="000000" w:sz="6" w:space="0"/>
                                  </w:tcBorders>
                                  <w:noWrap w:val="0"/>
                                  <w:vAlign w:val="top"/>
                                </w:tcPr>
                                <w:p w14:paraId="01B50DD0">
                                  <w:pPr>
                                    <w:pStyle w:val="15"/>
                                    <w:spacing w:before="25"/>
                                    <w:ind w:left="124" w:right="103"/>
                                    <w:jc w:val="center"/>
                                    <w:rPr>
                                      <w:sz w:val="21"/>
                                    </w:rPr>
                                  </w:pPr>
                                  <w:r>
                                    <w:rPr>
                                      <w:sz w:val="21"/>
                                    </w:rPr>
                                    <w:t>14.9</w:t>
                                  </w:r>
                                </w:p>
                              </w:tc>
                              <w:tc>
                                <w:tcPr>
                                  <w:tcW w:w="7372" w:type="dxa"/>
                                  <w:tcBorders>
                                    <w:top w:val="single" w:color="000000" w:sz="6" w:space="0"/>
                                    <w:left w:val="single" w:color="000000" w:sz="6" w:space="0"/>
                                    <w:bottom w:val="single" w:color="000000" w:sz="6" w:space="0"/>
                                  </w:tcBorders>
                                  <w:noWrap w:val="0"/>
                                  <w:vAlign w:val="top"/>
                                </w:tcPr>
                                <w:p w14:paraId="3C303083">
                                  <w:pPr>
                                    <w:pStyle w:val="15"/>
                                    <w:spacing w:before="25"/>
                                    <w:ind w:left="112"/>
                                    <w:rPr>
                                      <w:sz w:val="21"/>
                                    </w:rPr>
                                  </w:pPr>
                                  <w:r>
                                    <w:rPr>
                                      <w:sz w:val="21"/>
                                    </w:rPr>
                                    <w:t>不允许附加条件报价。</w:t>
                                  </w:r>
                                </w:p>
                              </w:tc>
                            </w:tr>
                            <w:tr w14:paraId="47B290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3D8B3030">
                                  <w:pPr>
                                    <w:pStyle w:val="15"/>
                                    <w:spacing w:before="47"/>
                                    <w:ind w:left="124" w:right="103"/>
                                    <w:jc w:val="center"/>
                                    <w:rPr>
                                      <w:sz w:val="21"/>
                                    </w:rPr>
                                  </w:pPr>
                                  <w:r>
                                    <w:rPr>
                                      <w:sz w:val="21"/>
                                    </w:rPr>
                                    <w:t>19.1</w:t>
                                  </w:r>
                                </w:p>
                              </w:tc>
                              <w:tc>
                                <w:tcPr>
                                  <w:tcW w:w="7372" w:type="dxa"/>
                                  <w:tcBorders>
                                    <w:top w:val="single" w:color="000000" w:sz="6" w:space="0"/>
                                    <w:left w:val="single" w:color="000000" w:sz="6" w:space="0"/>
                                    <w:bottom w:val="single" w:color="000000" w:sz="6" w:space="0"/>
                                  </w:tcBorders>
                                  <w:noWrap w:val="0"/>
                                  <w:vAlign w:val="top"/>
                                </w:tcPr>
                                <w:p w14:paraId="31533743">
                                  <w:pPr>
                                    <w:pStyle w:val="15"/>
                                    <w:spacing w:before="78" w:line="262" w:lineRule="exact"/>
                                    <w:ind w:left="112"/>
                                    <w:rPr>
                                      <w:sz w:val="21"/>
                                    </w:rPr>
                                  </w:pPr>
                                  <w:r>
                                    <w:rPr>
                                      <w:sz w:val="21"/>
                                    </w:rPr>
                                    <w:t>投标有效期：90 天。</w:t>
                                  </w:r>
                                </w:p>
                              </w:tc>
                            </w:tr>
                            <w:tr w14:paraId="47D65E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6B7AD9BC">
                                  <w:pPr>
                                    <w:pStyle w:val="15"/>
                                    <w:spacing w:before="46"/>
                                    <w:ind w:left="124" w:right="103"/>
                                    <w:jc w:val="center"/>
                                    <w:rPr>
                                      <w:sz w:val="21"/>
                                    </w:rPr>
                                  </w:pPr>
                                  <w:r>
                                    <w:rPr>
                                      <w:sz w:val="21"/>
                                    </w:rPr>
                                    <w:t>20.1</w:t>
                                  </w:r>
                                </w:p>
                              </w:tc>
                              <w:tc>
                                <w:tcPr>
                                  <w:tcW w:w="7372" w:type="dxa"/>
                                  <w:tcBorders>
                                    <w:top w:val="single" w:color="000000" w:sz="6" w:space="0"/>
                                    <w:left w:val="single" w:color="000000" w:sz="6" w:space="0"/>
                                    <w:bottom w:val="single" w:color="000000" w:sz="6" w:space="0"/>
                                  </w:tcBorders>
                                  <w:noWrap w:val="0"/>
                                  <w:vAlign w:val="top"/>
                                </w:tcPr>
                                <w:p w14:paraId="7E04DF9F">
                                  <w:pPr>
                                    <w:pStyle w:val="15"/>
                                    <w:spacing w:before="77" w:line="262" w:lineRule="exact"/>
                                    <w:ind w:left="112"/>
                                    <w:rPr>
                                      <w:sz w:val="21"/>
                                    </w:rPr>
                                  </w:pPr>
                                  <w:r>
                                    <w:rPr>
                                      <w:sz w:val="21"/>
                                    </w:rPr>
                                    <w:t>投标文件份数：正本一份，副本五份，电子文件一份。</w:t>
                                  </w:r>
                                  <w:r>
                                    <w:rPr>
                                      <w:rFonts w:hint="eastAsia"/>
                                      <w:sz w:val="21"/>
                                    </w:rPr>
                                    <w:t>供应商应将响应文件正本、所有副本、电子版U盘分别密封装在单独的信袋中，并分别在信袋上标明“正本”、“副本”或“电子版U盘”字样。</w:t>
                                  </w:r>
                                </w:p>
                              </w:tc>
                            </w:tr>
                            <w:tr w14:paraId="7109800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79E05B43">
                                  <w:pPr>
                                    <w:pStyle w:val="15"/>
                                    <w:spacing w:before="77" w:line="262" w:lineRule="exact"/>
                                    <w:ind w:left="3283" w:right="3253"/>
                                    <w:jc w:val="center"/>
                                    <w:rPr>
                                      <w:b/>
                                      <w:sz w:val="21"/>
                                    </w:rPr>
                                  </w:pPr>
                                  <w:r>
                                    <w:rPr>
                                      <w:b/>
                                      <w:sz w:val="21"/>
                                    </w:rPr>
                                    <w:t>四、投标文件的递交</w:t>
                                  </w:r>
                                </w:p>
                              </w:tc>
                            </w:tr>
                            <w:tr w14:paraId="5641778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1" w:hRule="atLeast"/>
                              </w:trPr>
                              <w:tc>
                                <w:tcPr>
                                  <w:tcW w:w="1133" w:type="dxa"/>
                                  <w:tcBorders>
                                    <w:top w:val="single" w:color="000000" w:sz="6" w:space="0"/>
                                    <w:bottom w:val="single" w:color="000000" w:sz="6" w:space="0"/>
                                    <w:right w:val="single" w:color="000000" w:sz="6" w:space="0"/>
                                  </w:tcBorders>
                                  <w:noWrap w:val="0"/>
                                  <w:vAlign w:val="top"/>
                                </w:tcPr>
                                <w:p w14:paraId="16F3CDA5">
                                  <w:pPr>
                                    <w:pStyle w:val="15"/>
                                    <w:spacing w:before="49"/>
                                    <w:ind w:left="124" w:right="103"/>
                                    <w:jc w:val="center"/>
                                    <w:rPr>
                                      <w:sz w:val="21"/>
                                    </w:rPr>
                                  </w:pPr>
                                  <w:r>
                                    <w:rPr>
                                      <w:sz w:val="21"/>
                                    </w:rPr>
                                    <w:t>22.1</w:t>
                                  </w:r>
                                </w:p>
                              </w:tc>
                              <w:tc>
                                <w:tcPr>
                                  <w:tcW w:w="7372" w:type="dxa"/>
                                  <w:tcBorders>
                                    <w:top w:val="single" w:color="000000" w:sz="6" w:space="0"/>
                                    <w:left w:val="single" w:color="000000" w:sz="6" w:space="0"/>
                                    <w:bottom w:val="single" w:color="000000" w:sz="6" w:space="0"/>
                                  </w:tcBorders>
                                  <w:noWrap w:val="0"/>
                                  <w:vAlign w:val="top"/>
                                </w:tcPr>
                                <w:p w14:paraId="1219F5A0">
                                  <w:pPr>
                                    <w:pStyle w:val="15"/>
                                    <w:spacing w:before="80" w:line="262" w:lineRule="exact"/>
                                    <w:ind w:left="112"/>
                                    <w:rPr>
                                      <w:sz w:val="21"/>
                                    </w:rPr>
                                  </w:pPr>
                                  <w:r>
                                    <w:rPr>
                                      <w:sz w:val="21"/>
                                    </w:rPr>
                                    <w:t>投标文件递交截止日期和时间、地址：按招标文件第一章投标邀请中规定。</w:t>
                                  </w:r>
                                </w:p>
                              </w:tc>
                            </w:tr>
                            <w:tr w14:paraId="4361A9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270B57F0">
                                  <w:pPr>
                                    <w:pStyle w:val="15"/>
                                    <w:spacing w:before="77" w:line="262" w:lineRule="exact"/>
                                    <w:ind w:left="3283" w:right="3253"/>
                                    <w:jc w:val="center"/>
                                    <w:rPr>
                                      <w:b/>
                                      <w:sz w:val="21"/>
                                    </w:rPr>
                                  </w:pPr>
                                  <w:r>
                                    <w:rPr>
                                      <w:b/>
                                      <w:sz w:val="21"/>
                                    </w:rPr>
                                    <w:t>五、开标与评标</w:t>
                                  </w:r>
                                </w:p>
                              </w:tc>
                            </w:tr>
                            <w:tr w14:paraId="38A621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445F48C4">
                                  <w:pPr>
                                    <w:pStyle w:val="15"/>
                                    <w:spacing w:before="46"/>
                                    <w:ind w:left="124" w:right="103"/>
                                    <w:jc w:val="center"/>
                                    <w:rPr>
                                      <w:sz w:val="21"/>
                                    </w:rPr>
                                  </w:pPr>
                                  <w:r>
                                    <w:rPr>
                                      <w:sz w:val="21"/>
                                    </w:rPr>
                                    <w:t>26.1</w:t>
                                  </w:r>
                                </w:p>
                              </w:tc>
                              <w:tc>
                                <w:tcPr>
                                  <w:tcW w:w="7372" w:type="dxa"/>
                                  <w:tcBorders>
                                    <w:top w:val="single" w:color="000000" w:sz="6" w:space="0"/>
                                    <w:left w:val="single" w:color="000000" w:sz="6" w:space="0"/>
                                    <w:bottom w:val="single" w:color="000000" w:sz="6" w:space="0"/>
                                  </w:tcBorders>
                                  <w:noWrap w:val="0"/>
                                  <w:vAlign w:val="top"/>
                                </w:tcPr>
                                <w:p w14:paraId="33C0CB69">
                                  <w:pPr>
                                    <w:pStyle w:val="15"/>
                                    <w:spacing w:before="77" w:line="262" w:lineRule="exact"/>
                                    <w:ind w:left="112"/>
                                    <w:rPr>
                                      <w:sz w:val="21"/>
                                    </w:rPr>
                                  </w:pPr>
                                  <w:r>
                                    <w:rPr>
                                      <w:sz w:val="21"/>
                                    </w:rPr>
                                    <w:t>评标委员会由 5 名单数组成。</w:t>
                                  </w:r>
                                </w:p>
                              </w:tc>
                            </w:tr>
                            <w:tr w14:paraId="0AB80E4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452FF8DB">
                                  <w:pPr>
                                    <w:pStyle w:val="15"/>
                                    <w:spacing w:before="46"/>
                                    <w:ind w:left="124" w:right="103"/>
                                    <w:jc w:val="center"/>
                                    <w:rPr>
                                      <w:sz w:val="21"/>
                                    </w:rPr>
                                  </w:pPr>
                                  <w:r>
                                    <w:rPr>
                                      <w:sz w:val="21"/>
                                    </w:rPr>
                                    <w:t>26.4</w:t>
                                  </w:r>
                                </w:p>
                              </w:tc>
                              <w:tc>
                                <w:tcPr>
                                  <w:tcW w:w="7372" w:type="dxa"/>
                                  <w:tcBorders>
                                    <w:top w:val="single" w:color="000000" w:sz="6" w:space="0"/>
                                    <w:left w:val="single" w:color="000000" w:sz="6" w:space="0"/>
                                    <w:bottom w:val="single" w:color="000000" w:sz="6" w:space="0"/>
                                  </w:tcBorders>
                                  <w:noWrap w:val="0"/>
                                  <w:vAlign w:val="top"/>
                                </w:tcPr>
                                <w:p w14:paraId="14D6BAEB">
                                  <w:pPr>
                                    <w:pStyle w:val="15"/>
                                    <w:spacing w:before="77" w:line="262" w:lineRule="exact"/>
                                    <w:ind w:left="112"/>
                                    <w:rPr>
                                      <w:sz w:val="21"/>
                                    </w:rPr>
                                  </w:pPr>
                                  <w:r>
                                    <w:rPr>
                                      <w:sz w:val="21"/>
                                    </w:rPr>
                                    <w:t>评标方法：采用综合评分法。</w:t>
                                  </w:r>
                                </w:p>
                              </w:tc>
                            </w:tr>
                            <w:tr w14:paraId="7D6621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21" w:hRule="atLeast"/>
                              </w:trPr>
                              <w:tc>
                                <w:tcPr>
                                  <w:tcW w:w="1133" w:type="dxa"/>
                                  <w:tcBorders>
                                    <w:top w:val="single" w:color="000000" w:sz="6" w:space="0"/>
                                    <w:bottom w:val="single" w:color="000000" w:sz="6" w:space="0"/>
                                    <w:right w:val="single" w:color="000000" w:sz="6" w:space="0"/>
                                  </w:tcBorders>
                                  <w:noWrap w:val="0"/>
                                  <w:vAlign w:val="top"/>
                                </w:tcPr>
                                <w:p w14:paraId="405E8FA1">
                                  <w:pPr>
                                    <w:pStyle w:val="15"/>
                                    <w:rPr>
                                      <w:sz w:val="20"/>
                                    </w:rPr>
                                  </w:pPr>
                                </w:p>
                                <w:p w14:paraId="75B3398C">
                                  <w:pPr>
                                    <w:pStyle w:val="15"/>
                                    <w:spacing w:before="12"/>
                                    <w:rPr>
                                      <w:sz w:val="28"/>
                                    </w:rPr>
                                  </w:pPr>
                                </w:p>
                                <w:p w14:paraId="34F9421D">
                                  <w:pPr>
                                    <w:pStyle w:val="15"/>
                                    <w:ind w:left="124" w:right="103"/>
                                    <w:jc w:val="center"/>
                                    <w:rPr>
                                      <w:sz w:val="21"/>
                                    </w:rPr>
                                  </w:pPr>
                                  <w:r>
                                    <w:rPr>
                                      <w:sz w:val="21"/>
                                    </w:rPr>
                                    <w:t>30.2</w:t>
                                  </w:r>
                                </w:p>
                              </w:tc>
                              <w:tc>
                                <w:tcPr>
                                  <w:tcW w:w="7372" w:type="dxa"/>
                                  <w:tcBorders>
                                    <w:top w:val="single" w:color="000000" w:sz="6" w:space="0"/>
                                    <w:left w:val="single" w:color="000000" w:sz="6" w:space="0"/>
                                    <w:bottom w:val="single" w:color="000000" w:sz="6" w:space="0"/>
                                  </w:tcBorders>
                                  <w:noWrap w:val="0"/>
                                  <w:vAlign w:val="top"/>
                                </w:tcPr>
                                <w:p w14:paraId="1CEB07CC">
                                  <w:pPr>
                                    <w:pStyle w:val="15"/>
                                    <w:spacing w:before="97" w:line="338" w:lineRule="auto"/>
                                    <w:ind w:left="112" w:right="75"/>
                                    <w:rPr>
                                      <w:sz w:val="21"/>
                                    </w:rPr>
                                  </w:pPr>
                                  <w:r>
                                    <w:rPr>
                                      <w:sz w:val="21"/>
                                    </w:rPr>
                                    <w:t>定标原则：推荐综合得分排名第一的投标人为第一中标候选人，排名第二的投标人为第二中标候选人。</w:t>
                                  </w:r>
                                </w:p>
                                <w:p w14:paraId="041959A8">
                                  <w:pPr>
                                    <w:pStyle w:val="15"/>
                                    <w:spacing w:line="269" w:lineRule="exact"/>
                                    <w:ind w:left="112"/>
                                    <w:rPr>
                                      <w:sz w:val="21"/>
                                    </w:rPr>
                                  </w:pPr>
                                  <w:r>
                                    <w:rPr>
                                      <w:sz w:val="21"/>
                                    </w:rPr>
                                    <w:t>如第二中标候选人报价高于第一中标候选人报价 20%以上的，只推荐一名中标</w:t>
                                  </w:r>
                                </w:p>
                                <w:p w14:paraId="6611E404">
                                  <w:pPr>
                                    <w:pStyle w:val="15"/>
                                    <w:spacing w:before="113" w:line="264" w:lineRule="exact"/>
                                    <w:ind w:left="112"/>
                                    <w:rPr>
                                      <w:sz w:val="21"/>
                                    </w:rPr>
                                  </w:pPr>
                                  <w:r>
                                    <w:rPr>
                                      <w:sz w:val="21"/>
                                    </w:rPr>
                                    <w:t>候选人。</w:t>
                                  </w:r>
                                </w:p>
                              </w:tc>
                            </w:tr>
                            <w:tr w14:paraId="1A34308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67E02841">
                                  <w:pPr>
                                    <w:pStyle w:val="15"/>
                                    <w:spacing w:before="77" w:line="262" w:lineRule="exact"/>
                                    <w:ind w:left="3283" w:right="3253"/>
                                    <w:jc w:val="center"/>
                                    <w:rPr>
                                      <w:b/>
                                      <w:sz w:val="21"/>
                                    </w:rPr>
                                  </w:pPr>
                                  <w:r>
                                    <w:rPr>
                                      <w:b/>
                                      <w:sz w:val="21"/>
                                    </w:rPr>
                                    <w:t>七、授予合同</w:t>
                                  </w:r>
                                </w:p>
                              </w:tc>
                            </w:tr>
                            <w:tr w14:paraId="2D8275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5" w:hRule="atLeast"/>
                              </w:trPr>
                              <w:tc>
                                <w:tcPr>
                                  <w:tcW w:w="1133" w:type="dxa"/>
                                  <w:tcBorders>
                                    <w:top w:val="single" w:color="000000" w:sz="6" w:space="0"/>
                                    <w:bottom w:val="single" w:color="000000" w:sz="6" w:space="0"/>
                                    <w:right w:val="single" w:color="000000" w:sz="6" w:space="0"/>
                                  </w:tcBorders>
                                  <w:noWrap w:val="0"/>
                                  <w:vAlign w:val="top"/>
                                </w:tcPr>
                                <w:p w14:paraId="7B4478A8">
                                  <w:pPr>
                                    <w:pStyle w:val="15"/>
                                    <w:spacing w:before="89"/>
                                    <w:ind w:left="124" w:right="103"/>
                                    <w:jc w:val="center"/>
                                    <w:rPr>
                                      <w:sz w:val="21"/>
                                    </w:rPr>
                                  </w:pPr>
                                  <w:r>
                                    <w:rPr>
                                      <w:sz w:val="21"/>
                                    </w:rPr>
                                    <w:t>35.1</w:t>
                                  </w:r>
                                </w:p>
                              </w:tc>
                              <w:tc>
                                <w:tcPr>
                                  <w:tcW w:w="7372" w:type="dxa"/>
                                  <w:tcBorders>
                                    <w:top w:val="single" w:color="000000" w:sz="6" w:space="0"/>
                                    <w:left w:val="single" w:color="000000" w:sz="6" w:space="0"/>
                                    <w:bottom w:val="single" w:color="000000" w:sz="6" w:space="0"/>
                                  </w:tcBorders>
                                  <w:noWrap w:val="0"/>
                                  <w:vAlign w:val="top"/>
                                </w:tcPr>
                                <w:p w14:paraId="270517A7">
                                  <w:pPr>
                                    <w:pStyle w:val="15"/>
                                    <w:spacing w:before="89"/>
                                    <w:ind w:left="112"/>
                                    <w:rPr>
                                      <w:sz w:val="21"/>
                                    </w:rPr>
                                  </w:pPr>
                                  <w:r>
                                    <w:rPr>
                                      <w:sz w:val="21"/>
                                    </w:rPr>
                                    <w:t>合同签订时间：自《中标通知书》发出之日起三十日内</w:t>
                                  </w:r>
                                </w:p>
                              </w:tc>
                            </w:tr>
                            <w:tr w14:paraId="6A6AF05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1133" w:type="dxa"/>
                                  <w:tcBorders>
                                    <w:top w:val="single" w:color="000000" w:sz="6" w:space="0"/>
                                    <w:bottom w:val="single" w:color="000000" w:sz="6" w:space="0"/>
                                    <w:right w:val="single" w:color="000000" w:sz="6" w:space="0"/>
                                  </w:tcBorders>
                                  <w:noWrap w:val="0"/>
                                  <w:vAlign w:val="top"/>
                                </w:tcPr>
                                <w:p w14:paraId="67367B14">
                                  <w:pPr>
                                    <w:pStyle w:val="15"/>
                                    <w:spacing w:before="70"/>
                                    <w:ind w:left="124" w:right="103"/>
                                    <w:jc w:val="center"/>
                                    <w:rPr>
                                      <w:sz w:val="21"/>
                                    </w:rPr>
                                  </w:pPr>
                                  <w:r>
                                    <w:rPr>
                                      <w:sz w:val="21"/>
                                    </w:rPr>
                                    <w:t>37.1</w:t>
                                  </w:r>
                                </w:p>
                              </w:tc>
                              <w:tc>
                                <w:tcPr>
                                  <w:tcW w:w="7372" w:type="dxa"/>
                                  <w:tcBorders>
                                    <w:top w:val="single" w:color="000000" w:sz="6" w:space="0"/>
                                    <w:left w:val="single" w:color="000000" w:sz="6" w:space="0"/>
                                    <w:bottom w:val="single" w:color="000000" w:sz="6" w:space="0"/>
                                  </w:tcBorders>
                                  <w:noWrap w:val="0"/>
                                  <w:vAlign w:val="top"/>
                                </w:tcPr>
                                <w:p w14:paraId="26230C81">
                                  <w:pPr>
                                    <w:pStyle w:val="15"/>
                                    <w:spacing w:before="70"/>
                                    <w:ind w:left="112"/>
                                    <w:rPr>
                                      <w:sz w:val="21"/>
                                    </w:rPr>
                                  </w:pPr>
                                  <w:r>
                                    <w:rPr>
                                      <w:sz w:val="21"/>
                                    </w:rPr>
                                    <w:t>履约保证金：无</w:t>
                                  </w:r>
                                </w:p>
                              </w:tc>
                            </w:tr>
                            <w:tr w14:paraId="23311CF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8" w:hRule="atLeast"/>
                              </w:trPr>
                              <w:tc>
                                <w:tcPr>
                                  <w:tcW w:w="1133" w:type="dxa"/>
                                  <w:tcBorders>
                                    <w:top w:val="single" w:color="000000" w:sz="6" w:space="0"/>
                                    <w:right w:val="single" w:color="000000" w:sz="6" w:space="0"/>
                                  </w:tcBorders>
                                  <w:noWrap w:val="0"/>
                                  <w:vAlign w:val="top"/>
                                </w:tcPr>
                                <w:p w14:paraId="439690C8">
                                  <w:pPr>
                                    <w:pStyle w:val="15"/>
                                    <w:spacing w:before="87"/>
                                    <w:ind w:left="124" w:right="103"/>
                                    <w:jc w:val="center"/>
                                    <w:rPr>
                                      <w:sz w:val="21"/>
                                    </w:rPr>
                                  </w:pPr>
                                  <w:r>
                                    <w:rPr>
                                      <w:sz w:val="21"/>
                                    </w:rPr>
                                    <w:t>38.1</w:t>
                                  </w:r>
                                </w:p>
                              </w:tc>
                              <w:tc>
                                <w:tcPr>
                                  <w:tcW w:w="7372" w:type="dxa"/>
                                  <w:tcBorders>
                                    <w:top w:val="single" w:color="000000" w:sz="6" w:space="0"/>
                                    <w:left w:val="single" w:color="000000" w:sz="6" w:space="0"/>
                                  </w:tcBorders>
                                  <w:noWrap w:val="0"/>
                                  <w:vAlign w:val="top"/>
                                </w:tcPr>
                                <w:p w14:paraId="2BE79A3E">
                                  <w:pPr>
                                    <w:pStyle w:val="15"/>
                                    <w:tabs>
                                      <w:tab w:val="left" w:pos="536"/>
                                    </w:tabs>
                                    <w:spacing w:before="94" w:line="264" w:lineRule="exact"/>
                                    <w:ind w:left="112"/>
                                    <w:rPr>
                                      <w:sz w:val="21"/>
                                    </w:rPr>
                                  </w:pPr>
                                  <w:r>
                                    <w:rPr>
                                      <w:sz w:val="21"/>
                                    </w:rPr>
                                    <w:t>1.</w:t>
                                  </w:r>
                                  <w:r>
                                    <w:rPr>
                                      <w:sz w:val="21"/>
                                    </w:rPr>
                                    <w:tab/>
                                  </w:r>
                                  <w:r>
                                    <w:rPr>
                                      <w:spacing w:val="-3"/>
                                      <w:sz w:val="21"/>
                                    </w:rPr>
                                    <w:t>投标人应签署第六章所附格式的招标代理服务费承诺书，作为投标文件的一部分。</w:t>
                                  </w:r>
                                </w:p>
                              </w:tc>
                            </w:tr>
                          </w:tbl>
                          <w:p w14:paraId="18508E82">
                            <w:pPr>
                              <w:pStyle w:val="5"/>
                            </w:pPr>
                          </w:p>
                        </w:txbxContent>
                      </wps:txbx>
                      <wps:bodyPr lIns="0" tIns="0" rIns="0" bIns="0" upright="1"/>
                    </wps:wsp>
                  </a:graphicData>
                </a:graphic>
              </wp:anchor>
            </w:drawing>
          </mc:Choice>
          <mc:Fallback>
            <w:pict>
              <v:shape id="_x0000_s1026" o:spid="_x0000_s1026" o:spt="202" type="#_x0000_t202" style="position:absolute;left:0pt;margin-left:74.75pt;margin-top:41.8pt;height:609.45pt;width:427.4pt;mso-position-horizontal-relative:page;z-index:251661312;mso-width-relative:page;mso-height-relative:page;" filled="f" stroked="f" coordsize="21600,21600" o:gfxdata="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9wu8raAAAADAEAAA8AAAAAAAAAAQAgAAAAIgAAAGRycy9kb3ducmV2&#10;LnhtbFBLAQIUABQAAAAIAIdO4kBzaZnJwQEAAIMDAAAOAAAAAAAAAAEAIAAAACkBAABkcnMvZTJv&#10;RG9jLnhtbFBLBQYAAAAABgAGAFkBAABcBQAAAAA=&#10;">
                <v:fill on="f" focussize="0,0"/>
                <v:stroke on="f"/>
                <v:imagedata o:title=""/>
                <o:lock v:ext="edit" aspectratio="f"/>
                <v:textbox inset="0mm,0mm,0mm,0mm">
                  <w:txbxContent>
                    <w:tbl>
                      <w:tblPr>
                        <w:tblStyle w:val="10"/>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33"/>
                        <w:gridCol w:w="7372"/>
                      </w:tblGrid>
                      <w:tr w14:paraId="259A401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1" w:hRule="atLeast"/>
                        </w:trPr>
                        <w:tc>
                          <w:tcPr>
                            <w:tcW w:w="1133" w:type="dxa"/>
                            <w:tcBorders>
                              <w:bottom w:val="single" w:color="000000" w:sz="6" w:space="0"/>
                              <w:right w:val="single" w:color="000000" w:sz="6" w:space="0"/>
                            </w:tcBorders>
                            <w:shd w:val="clear" w:color="auto" w:fill="CCFFFF"/>
                            <w:noWrap w:val="0"/>
                            <w:vAlign w:val="top"/>
                          </w:tcPr>
                          <w:p w14:paraId="5228598A">
                            <w:pPr>
                              <w:pStyle w:val="15"/>
                              <w:spacing w:before="79" w:line="262" w:lineRule="exact"/>
                              <w:ind w:left="124" w:right="103"/>
                              <w:jc w:val="center"/>
                              <w:rPr>
                                <w:b/>
                                <w:sz w:val="21"/>
                              </w:rPr>
                            </w:pPr>
                            <w:r>
                              <w:rPr>
                                <w:b/>
                                <w:sz w:val="21"/>
                              </w:rPr>
                              <w:t>条款项号</w:t>
                            </w:r>
                          </w:p>
                        </w:tc>
                        <w:tc>
                          <w:tcPr>
                            <w:tcW w:w="7372" w:type="dxa"/>
                            <w:tcBorders>
                              <w:left w:val="single" w:color="000000" w:sz="6" w:space="0"/>
                              <w:bottom w:val="single" w:color="000000" w:sz="6" w:space="0"/>
                            </w:tcBorders>
                            <w:shd w:val="clear" w:color="auto" w:fill="CCFFFF"/>
                            <w:noWrap w:val="0"/>
                            <w:vAlign w:val="top"/>
                          </w:tcPr>
                          <w:p w14:paraId="1775454D">
                            <w:pPr>
                              <w:pStyle w:val="15"/>
                              <w:spacing w:before="79" w:line="262" w:lineRule="exact"/>
                              <w:ind w:left="3459" w:right="3427"/>
                              <w:jc w:val="center"/>
                              <w:rPr>
                                <w:b/>
                                <w:sz w:val="21"/>
                              </w:rPr>
                            </w:pPr>
                            <w:r>
                              <w:rPr>
                                <w:b/>
                                <w:sz w:val="21"/>
                              </w:rPr>
                              <w:t>内容</w:t>
                            </w:r>
                          </w:p>
                        </w:tc>
                      </w:tr>
                      <w:tr w14:paraId="4F5903F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196BBC2E">
                            <w:pPr>
                              <w:pStyle w:val="15"/>
                              <w:spacing w:before="77" w:line="262" w:lineRule="exact"/>
                              <w:ind w:left="3283" w:right="3253"/>
                              <w:jc w:val="center"/>
                              <w:rPr>
                                <w:b/>
                                <w:sz w:val="21"/>
                              </w:rPr>
                            </w:pPr>
                            <w:r>
                              <w:rPr>
                                <w:b/>
                                <w:sz w:val="21"/>
                              </w:rPr>
                              <w:t>一、说明</w:t>
                            </w:r>
                          </w:p>
                        </w:tc>
                      </w:tr>
                      <w:tr w14:paraId="4E01DB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4" w:hRule="atLeast"/>
                        </w:trPr>
                        <w:tc>
                          <w:tcPr>
                            <w:tcW w:w="1133" w:type="dxa"/>
                            <w:tcBorders>
                              <w:top w:val="single" w:color="000000" w:sz="6" w:space="0"/>
                              <w:bottom w:val="single" w:color="000000" w:sz="6" w:space="0"/>
                              <w:right w:val="single" w:color="000000" w:sz="6" w:space="0"/>
                            </w:tcBorders>
                            <w:noWrap w:val="0"/>
                            <w:vAlign w:val="center"/>
                          </w:tcPr>
                          <w:p w14:paraId="132959DD">
                            <w:pPr>
                              <w:pStyle w:val="15"/>
                              <w:ind w:left="124" w:right="103"/>
                              <w:jc w:val="center"/>
                              <w:rPr>
                                <w:sz w:val="21"/>
                              </w:rPr>
                            </w:pPr>
                            <w:r>
                              <w:rPr>
                                <w:sz w:val="21"/>
                              </w:rPr>
                              <w:t>2.3</w:t>
                            </w:r>
                          </w:p>
                        </w:tc>
                        <w:tc>
                          <w:tcPr>
                            <w:tcW w:w="7372" w:type="dxa"/>
                            <w:tcBorders>
                              <w:top w:val="single" w:color="000000" w:sz="6" w:space="0"/>
                              <w:left w:val="single" w:color="000000" w:sz="6" w:space="0"/>
                              <w:bottom w:val="single" w:color="000000" w:sz="6" w:space="0"/>
                            </w:tcBorders>
                            <w:noWrap w:val="0"/>
                            <w:vAlign w:val="top"/>
                          </w:tcPr>
                          <w:p w14:paraId="784CCCC5">
                            <w:pPr>
                              <w:pStyle w:val="15"/>
                              <w:spacing w:before="77" w:line="240" w:lineRule="auto"/>
                              <w:ind w:left="112"/>
                              <w:rPr>
                                <w:rFonts w:hint="eastAsia" w:eastAsia="宋体"/>
                                <w:sz w:val="21"/>
                                <w:lang w:eastAsia="zh-CN"/>
                              </w:rPr>
                            </w:pPr>
                            <w:r>
                              <w:rPr>
                                <w:sz w:val="21"/>
                              </w:rPr>
                              <w:t>采购人名称：</w:t>
                            </w:r>
                            <w:r>
                              <w:rPr>
                                <w:rFonts w:hint="eastAsia"/>
                                <w:sz w:val="21"/>
                                <w:lang w:eastAsia="zh-CN"/>
                              </w:rPr>
                              <w:t>广州医科大学附属妇女儿童医疗中心</w:t>
                            </w:r>
                          </w:p>
                        </w:tc>
                      </w:tr>
                      <w:tr w14:paraId="58F69D9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8" w:hRule="atLeast"/>
                        </w:trPr>
                        <w:tc>
                          <w:tcPr>
                            <w:tcW w:w="1133" w:type="dxa"/>
                            <w:tcBorders>
                              <w:top w:val="single" w:color="000000" w:sz="6" w:space="0"/>
                              <w:bottom w:val="single" w:color="000000" w:sz="6" w:space="0"/>
                              <w:right w:val="single" w:color="000000" w:sz="6" w:space="0"/>
                            </w:tcBorders>
                            <w:noWrap w:val="0"/>
                            <w:vAlign w:val="top"/>
                          </w:tcPr>
                          <w:p w14:paraId="08BB18D2">
                            <w:pPr>
                              <w:pStyle w:val="15"/>
                              <w:ind w:left="124" w:right="103"/>
                              <w:jc w:val="center"/>
                              <w:rPr>
                                <w:sz w:val="21"/>
                              </w:rPr>
                            </w:pPr>
                            <w:r>
                              <w:rPr>
                                <w:sz w:val="21"/>
                              </w:rPr>
                              <w:t>2.4</w:t>
                            </w:r>
                          </w:p>
                        </w:tc>
                        <w:tc>
                          <w:tcPr>
                            <w:tcW w:w="7372" w:type="dxa"/>
                            <w:tcBorders>
                              <w:top w:val="single" w:color="000000" w:sz="6" w:space="0"/>
                              <w:left w:val="single" w:color="000000" w:sz="6" w:space="0"/>
                              <w:bottom w:val="single" w:color="000000" w:sz="6" w:space="0"/>
                            </w:tcBorders>
                            <w:noWrap w:val="0"/>
                            <w:vAlign w:val="top"/>
                          </w:tcPr>
                          <w:p w14:paraId="3AE8EF2F">
                            <w:pPr>
                              <w:pStyle w:val="15"/>
                              <w:spacing w:line="258" w:lineRule="exact"/>
                              <w:ind w:left="112"/>
                              <w:rPr>
                                <w:sz w:val="21"/>
                              </w:rPr>
                            </w:pPr>
                            <w:r>
                              <w:rPr>
                                <w:rFonts w:hint="eastAsia"/>
                                <w:sz w:val="21"/>
                              </w:rPr>
                              <w:t>院内</w:t>
                            </w:r>
                            <w:r>
                              <w:rPr>
                                <w:sz w:val="21"/>
                              </w:rPr>
                              <w:t>招标</w:t>
                            </w:r>
                          </w:p>
                        </w:tc>
                      </w:tr>
                      <w:tr w14:paraId="11FE96C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1" w:hRule="atLeast"/>
                        </w:trPr>
                        <w:tc>
                          <w:tcPr>
                            <w:tcW w:w="8505" w:type="dxa"/>
                            <w:gridSpan w:val="2"/>
                            <w:tcBorders>
                              <w:top w:val="single" w:color="000000" w:sz="6" w:space="0"/>
                              <w:bottom w:val="single" w:color="000000" w:sz="6" w:space="0"/>
                            </w:tcBorders>
                            <w:noWrap w:val="0"/>
                            <w:vAlign w:val="top"/>
                          </w:tcPr>
                          <w:p w14:paraId="2118073A">
                            <w:pPr>
                              <w:pStyle w:val="15"/>
                              <w:spacing w:before="77" w:line="262" w:lineRule="exact"/>
                              <w:ind w:left="3283" w:right="3253"/>
                              <w:jc w:val="center"/>
                              <w:rPr>
                                <w:b/>
                                <w:sz w:val="21"/>
                              </w:rPr>
                            </w:pPr>
                            <w:r>
                              <w:rPr>
                                <w:b/>
                                <w:sz w:val="21"/>
                              </w:rPr>
                              <w:t>二、招标文件</w:t>
                            </w:r>
                          </w:p>
                        </w:tc>
                      </w:tr>
                      <w:tr w14:paraId="4FA74AC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1133" w:type="dxa"/>
                            <w:tcBorders>
                              <w:top w:val="single" w:color="000000" w:sz="6" w:space="0"/>
                              <w:bottom w:val="single" w:color="000000" w:sz="6" w:space="0"/>
                              <w:right w:val="single" w:color="000000" w:sz="6" w:space="0"/>
                            </w:tcBorders>
                            <w:noWrap w:val="0"/>
                            <w:vAlign w:val="top"/>
                          </w:tcPr>
                          <w:p w14:paraId="488E885F">
                            <w:pPr>
                              <w:pStyle w:val="15"/>
                              <w:spacing w:before="58"/>
                              <w:ind w:left="124" w:right="103"/>
                              <w:jc w:val="center"/>
                              <w:rPr>
                                <w:sz w:val="21"/>
                              </w:rPr>
                            </w:pPr>
                            <w:r>
                              <w:rPr>
                                <w:sz w:val="21"/>
                              </w:rPr>
                              <w:t>9.3</w:t>
                            </w:r>
                          </w:p>
                        </w:tc>
                        <w:tc>
                          <w:tcPr>
                            <w:tcW w:w="7372" w:type="dxa"/>
                            <w:tcBorders>
                              <w:top w:val="single" w:color="000000" w:sz="6" w:space="0"/>
                              <w:left w:val="single" w:color="000000" w:sz="6" w:space="0"/>
                              <w:bottom w:val="single" w:color="000000" w:sz="6" w:space="0"/>
                            </w:tcBorders>
                            <w:noWrap w:val="0"/>
                            <w:vAlign w:val="top"/>
                          </w:tcPr>
                          <w:p w14:paraId="0C3D52BA">
                            <w:pPr>
                              <w:pStyle w:val="15"/>
                              <w:spacing w:before="97" w:line="264" w:lineRule="exact"/>
                              <w:ind w:left="112"/>
                              <w:rPr>
                                <w:sz w:val="21"/>
                              </w:rPr>
                            </w:pPr>
                            <w:r>
                              <w:rPr>
                                <w:sz w:val="21"/>
                              </w:rPr>
                              <w:t>集中答疑会或现场考察：不举行</w:t>
                            </w:r>
                          </w:p>
                        </w:tc>
                      </w:tr>
                      <w:tr w14:paraId="0365A93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0" w:hRule="atLeast"/>
                        </w:trPr>
                        <w:tc>
                          <w:tcPr>
                            <w:tcW w:w="1133" w:type="dxa"/>
                            <w:tcBorders>
                              <w:top w:val="single" w:color="000000" w:sz="6" w:space="0"/>
                              <w:bottom w:val="single" w:color="000000" w:sz="6" w:space="0"/>
                              <w:right w:val="single" w:color="000000" w:sz="6" w:space="0"/>
                            </w:tcBorders>
                            <w:noWrap w:val="0"/>
                            <w:vAlign w:val="top"/>
                          </w:tcPr>
                          <w:p w14:paraId="50D57EC5">
                            <w:pPr>
                              <w:pStyle w:val="15"/>
                              <w:spacing w:before="4"/>
                              <w:rPr>
                                <w:sz w:val="19"/>
                              </w:rPr>
                            </w:pPr>
                          </w:p>
                          <w:p w14:paraId="0A62CAA2">
                            <w:pPr>
                              <w:pStyle w:val="15"/>
                              <w:ind w:left="124" w:right="103"/>
                              <w:jc w:val="center"/>
                              <w:rPr>
                                <w:sz w:val="21"/>
                              </w:rPr>
                            </w:pPr>
                            <w:r>
                              <w:rPr>
                                <w:sz w:val="21"/>
                              </w:rPr>
                              <w:t>10.2</w:t>
                            </w:r>
                          </w:p>
                        </w:tc>
                        <w:tc>
                          <w:tcPr>
                            <w:tcW w:w="7372" w:type="dxa"/>
                            <w:tcBorders>
                              <w:top w:val="single" w:color="000000" w:sz="6" w:space="0"/>
                              <w:left w:val="single" w:color="000000" w:sz="6" w:space="0"/>
                              <w:bottom w:val="single" w:color="000000" w:sz="6" w:space="0"/>
                            </w:tcBorders>
                            <w:noWrap w:val="0"/>
                            <w:vAlign w:val="top"/>
                          </w:tcPr>
                          <w:p w14:paraId="3AAA2CA6">
                            <w:pPr>
                              <w:pStyle w:val="15"/>
                              <w:spacing w:before="94"/>
                              <w:ind w:left="112"/>
                              <w:rPr>
                                <w:sz w:val="21"/>
                              </w:rPr>
                            </w:pPr>
                            <w:r>
                              <w:rPr>
                                <w:sz w:val="21"/>
                              </w:rPr>
                              <w:t>招标文件进行澄清或修改时间距投标截止时间不足</w:t>
                            </w:r>
                            <w:r>
                              <w:rPr>
                                <w:rFonts w:hint="eastAsia"/>
                                <w:sz w:val="21"/>
                              </w:rPr>
                              <w:t>三</w:t>
                            </w:r>
                            <w:r>
                              <w:rPr>
                                <w:sz w:val="21"/>
                              </w:rPr>
                              <w:t>日时，应当顺延投标文</w:t>
                            </w:r>
                          </w:p>
                          <w:p w14:paraId="44D5CCC9">
                            <w:pPr>
                              <w:pStyle w:val="15"/>
                              <w:spacing w:before="113" w:line="264" w:lineRule="exact"/>
                              <w:ind w:left="112"/>
                              <w:rPr>
                                <w:sz w:val="21"/>
                              </w:rPr>
                            </w:pPr>
                            <w:r>
                              <w:rPr>
                                <w:sz w:val="21"/>
                              </w:rPr>
                              <w:t>件的截止时间。</w:t>
                            </w:r>
                          </w:p>
                        </w:tc>
                      </w:tr>
                      <w:tr w14:paraId="738F6FD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6463A641">
                            <w:pPr>
                              <w:pStyle w:val="15"/>
                              <w:spacing w:before="77" w:line="262" w:lineRule="exact"/>
                              <w:ind w:left="3283" w:right="3253"/>
                              <w:jc w:val="center"/>
                              <w:rPr>
                                <w:b/>
                                <w:sz w:val="21"/>
                              </w:rPr>
                            </w:pPr>
                            <w:r>
                              <w:rPr>
                                <w:b/>
                                <w:sz w:val="21"/>
                              </w:rPr>
                              <w:t>三、投标文件的编制</w:t>
                            </w:r>
                          </w:p>
                        </w:tc>
                      </w:tr>
                      <w:tr w14:paraId="074C33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0" w:hRule="atLeast"/>
                        </w:trPr>
                        <w:tc>
                          <w:tcPr>
                            <w:tcW w:w="1133" w:type="dxa"/>
                            <w:tcBorders>
                              <w:top w:val="single" w:color="000000" w:sz="6" w:space="0"/>
                              <w:bottom w:val="single" w:color="000000" w:sz="6" w:space="0"/>
                              <w:right w:val="single" w:color="000000" w:sz="6" w:space="0"/>
                            </w:tcBorders>
                            <w:noWrap w:val="0"/>
                            <w:vAlign w:val="top"/>
                          </w:tcPr>
                          <w:p w14:paraId="65523B28">
                            <w:pPr>
                              <w:pStyle w:val="15"/>
                              <w:spacing w:before="4"/>
                              <w:rPr>
                                <w:sz w:val="19"/>
                              </w:rPr>
                            </w:pPr>
                          </w:p>
                          <w:p w14:paraId="16BA8A43">
                            <w:pPr>
                              <w:pStyle w:val="15"/>
                              <w:ind w:left="124" w:right="103"/>
                              <w:jc w:val="center"/>
                              <w:rPr>
                                <w:sz w:val="21"/>
                              </w:rPr>
                            </w:pPr>
                            <w:r>
                              <w:rPr>
                                <w:sz w:val="21"/>
                              </w:rPr>
                              <w:t>14.7</w:t>
                            </w:r>
                          </w:p>
                        </w:tc>
                        <w:tc>
                          <w:tcPr>
                            <w:tcW w:w="7372" w:type="dxa"/>
                            <w:tcBorders>
                              <w:top w:val="single" w:color="000000" w:sz="6" w:space="0"/>
                              <w:left w:val="single" w:color="000000" w:sz="6" w:space="0"/>
                              <w:bottom w:val="single" w:color="000000" w:sz="6" w:space="0"/>
                            </w:tcBorders>
                            <w:noWrap w:val="0"/>
                            <w:vAlign w:val="top"/>
                          </w:tcPr>
                          <w:p w14:paraId="0C28DB2B">
                            <w:pPr>
                              <w:pStyle w:val="15"/>
                              <w:spacing w:before="94"/>
                              <w:ind w:left="112"/>
                              <w:rPr>
                                <w:sz w:val="21"/>
                              </w:rPr>
                            </w:pPr>
                            <w:r>
                              <w:rPr>
                                <w:sz w:val="21"/>
                              </w:rPr>
                              <w:t>投标人所报的投标价在合同执行过程中是固定不变的，不得以任何理由予以变</w:t>
                            </w:r>
                          </w:p>
                          <w:p w14:paraId="2260E83E">
                            <w:pPr>
                              <w:pStyle w:val="15"/>
                              <w:spacing w:before="113" w:line="264" w:lineRule="exact"/>
                              <w:ind w:left="112"/>
                              <w:rPr>
                                <w:sz w:val="21"/>
                              </w:rPr>
                            </w:pPr>
                            <w:r>
                              <w:rPr>
                                <w:sz w:val="21"/>
                              </w:rPr>
                              <w:t>更。</w:t>
                            </w:r>
                          </w:p>
                        </w:tc>
                      </w:tr>
                      <w:tr w14:paraId="016CE5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133" w:type="dxa"/>
                            <w:tcBorders>
                              <w:top w:val="single" w:color="000000" w:sz="6" w:space="0"/>
                              <w:bottom w:val="single" w:color="000000" w:sz="6" w:space="0"/>
                              <w:right w:val="single" w:color="000000" w:sz="6" w:space="0"/>
                            </w:tcBorders>
                            <w:noWrap w:val="0"/>
                            <w:vAlign w:val="top"/>
                          </w:tcPr>
                          <w:p w14:paraId="617A4037">
                            <w:pPr>
                              <w:pStyle w:val="15"/>
                              <w:spacing w:before="22"/>
                              <w:ind w:left="124" w:right="103"/>
                              <w:jc w:val="center"/>
                              <w:rPr>
                                <w:sz w:val="21"/>
                              </w:rPr>
                            </w:pPr>
                            <w:r>
                              <w:rPr>
                                <w:sz w:val="21"/>
                              </w:rPr>
                              <w:t>14.8</w:t>
                            </w:r>
                          </w:p>
                        </w:tc>
                        <w:tc>
                          <w:tcPr>
                            <w:tcW w:w="7372" w:type="dxa"/>
                            <w:tcBorders>
                              <w:top w:val="single" w:color="000000" w:sz="6" w:space="0"/>
                              <w:left w:val="single" w:color="000000" w:sz="6" w:space="0"/>
                              <w:bottom w:val="single" w:color="000000" w:sz="6" w:space="0"/>
                            </w:tcBorders>
                            <w:noWrap w:val="0"/>
                            <w:vAlign w:val="top"/>
                          </w:tcPr>
                          <w:p w14:paraId="26324D5F">
                            <w:pPr>
                              <w:pStyle w:val="15"/>
                              <w:spacing w:before="22"/>
                              <w:ind w:left="112"/>
                              <w:rPr>
                                <w:sz w:val="21"/>
                              </w:rPr>
                            </w:pPr>
                            <w:r>
                              <w:rPr>
                                <w:sz w:val="21"/>
                              </w:rPr>
                              <w:t>不允许有备选方案。</w:t>
                            </w:r>
                          </w:p>
                        </w:tc>
                      </w:tr>
                      <w:tr w14:paraId="4650A57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trPr>
                        <w:tc>
                          <w:tcPr>
                            <w:tcW w:w="1133" w:type="dxa"/>
                            <w:tcBorders>
                              <w:top w:val="single" w:color="000000" w:sz="6" w:space="0"/>
                              <w:bottom w:val="single" w:color="000000" w:sz="6" w:space="0"/>
                              <w:right w:val="single" w:color="000000" w:sz="6" w:space="0"/>
                            </w:tcBorders>
                            <w:noWrap w:val="0"/>
                            <w:vAlign w:val="top"/>
                          </w:tcPr>
                          <w:p w14:paraId="01B50DD0">
                            <w:pPr>
                              <w:pStyle w:val="15"/>
                              <w:spacing w:before="25"/>
                              <w:ind w:left="124" w:right="103"/>
                              <w:jc w:val="center"/>
                              <w:rPr>
                                <w:sz w:val="21"/>
                              </w:rPr>
                            </w:pPr>
                            <w:r>
                              <w:rPr>
                                <w:sz w:val="21"/>
                              </w:rPr>
                              <w:t>14.9</w:t>
                            </w:r>
                          </w:p>
                        </w:tc>
                        <w:tc>
                          <w:tcPr>
                            <w:tcW w:w="7372" w:type="dxa"/>
                            <w:tcBorders>
                              <w:top w:val="single" w:color="000000" w:sz="6" w:space="0"/>
                              <w:left w:val="single" w:color="000000" w:sz="6" w:space="0"/>
                              <w:bottom w:val="single" w:color="000000" w:sz="6" w:space="0"/>
                            </w:tcBorders>
                            <w:noWrap w:val="0"/>
                            <w:vAlign w:val="top"/>
                          </w:tcPr>
                          <w:p w14:paraId="3C303083">
                            <w:pPr>
                              <w:pStyle w:val="15"/>
                              <w:spacing w:before="25"/>
                              <w:ind w:left="112"/>
                              <w:rPr>
                                <w:sz w:val="21"/>
                              </w:rPr>
                            </w:pPr>
                            <w:r>
                              <w:rPr>
                                <w:sz w:val="21"/>
                              </w:rPr>
                              <w:t>不允许附加条件报价。</w:t>
                            </w:r>
                          </w:p>
                        </w:tc>
                      </w:tr>
                      <w:tr w14:paraId="47B290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3D8B3030">
                            <w:pPr>
                              <w:pStyle w:val="15"/>
                              <w:spacing w:before="47"/>
                              <w:ind w:left="124" w:right="103"/>
                              <w:jc w:val="center"/>
                              <w:rPr>
                                <w:sz w:val="21"/>
                              </w:rPr>
                            </w:pPr>
                            <w:r>
                              <w:rPr>
                                <w:sz w:val="21"/>
                              </w:rPr>
                              <w:t>19.1</w:t>
                            </w:r>
                          </w:p>
                        </w:tc>
                        <w:tc>
                          <w:tcPr>
                            <w:tcW w:w="7372" w:type="dxa"/>
                            <w:tcBorders>
                              <w:top w:val="single" w:color="000000" w:sz="6" w:space="0"/>
                              <w:left w:val="single" w:color="000000" w:sz="6" w:space="0"/>
                              <w:bottom w:val="single" w:color="000000" w:sz="6" w:space="0"/>
                            </w:tcBorders>
                            <w:noWrap w:val="0"/>
                            <w:vAlign w:val="top"/>
                          </w:tcPr>
                          <w:p w14:paraId="31533743">
                            <w:pPr>
                              <w:pStyle w:val="15"/>
                              <w:spacing w:before="78" w:line="262" w:lineRule="exact"/>
                              <w:ind w:left="112"/>
                              <w:rPr>
                                <w:sz w:val="21"/>
                              </w:rPr>
                            </w:pPr>
                            <w:r>
                              <w:rPr>
                                <w:sz w:val="21"/>
                              </w:rPr>
                              <w:t>投标有效期：90 天。</w:t>
                            </w:r>
                          </w:p>
                        </w:tc>
                      </w:tr>
                      <w:tr w14:paraId="47D65E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6B7AD9BC">
                            <w:pPr>
                              <w:pStyle w:val="15"/>
                              <w:spacing w:before="46"/>
                              <w:ind w:left="124" w:right="103"/>
                              <w:jc w:val="center"/>
                              <w:rPr>
                                <w:sz w:val="21"/>
                              </w:rPr>
                            </w:pPr>
                            <w:r>
                              <w:rPr>
                                <w:sz w:val="21"/>
                              </w:rPr>
                              <w:t>20.1</w:t>
                            </w:r>
                          </w:p>
                        </w:tc>
                        <w:tc>
                          <w:tcPr>
                            <w:tcW w:w="7372" w:type="dxa"/>
                            <w:tcBorders>
                              <w:top w:val="single" w:color="000000" w:sz="6" w:space="0"/>
                              <w:left w:val="single" w:color="000000" w:sz="6" w:space="0"/>
                              <w:bottom w:val="single" w:color="000000" w:sz="6" w:space="0"/>
                            </w:tcBorders>
                            <w:noWrap w:val="0"/>
                            <w:vAlign w:val="top"/>
                          </w:tcPr>
                          <w:p w14:paraId="7E04DF9F">
                            <w:pPr>
                              <w:pStyle w:val="15"/>
                              <w:spacing w:before="77" w:line="262" w:lineRule="exact"/>
                              <w:ind w:left="112"/>
                              <w:rPr>
                                <w:sz w:val="21"/>
                              </w:rPr>
                            </w:pPr>
                            <w:r>
                              <w:rPr>
                                <w:sz w:val="21"/>
                              </w:rPr>
                              <w:t>投标文件份数：正本一份，副本五份，电子文件一份。</w:t>
                            </w:r>
                            <w:r>
                              <w:rPr>
                                <w:rFonts w:hint="eastAsia"/>
                                <w:sz w:val="21"/>
                              </w:rPr>
                              <w:t>供应商应将响应文件正本、所有副本、电子版U盘分别密封装在单独的信袋中，并分别在信袋上标明“正本”、“副本”或“电子版U盘”字样。</w:t>
                            </w:r>
                          </w:p>
                        </w:tc>
                      </w:tr>
                      <w:tr w14:paraId="7109800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79E05B43">
                            <w:pPr>
                              <w:pStyle w:val="15"/>
                              <w:spacing w:before="77" w:line="262" w:lineRule="exact"/>
                              <w:ind w:left="3283" w:right="3253"/>
                              <w:jc w:val="center"/>
                              <w:rPr>
                                <w:b/>
                                <w:sz w:val="21"/>
                              </w:rPr>
                            </w:pPr>
                            <w:r>
                              <w:rPr>
                                <w:b/>
                                <w:sz w:val="21"/>
                              </w:rPr>
                              <w:t>四、投标文件的递交</w:t>
                            </w:r>
                          </w:p>
                        </w:tc>
                      </w:tr>
                      <w:tr w14:paraId="5641778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1" w:hRule="atLeast"/>
                        </w:trPr>
                        <w:tc>
                          <w:tcPr>
                            <w:tcW w:w="1133" w:type="dxa"/>
                            <w:tcBorders>
                              <w:top w:val="single" w:color="000000" w:sz="6" w:space="0"/>
                              <w:bottom w:val="single" w:color="000000" w:sz="6" w:space="0"/>
                              <w:right w:val="single" w:color="000000" w:sz="6" w:space="0"/>
                            </w:tcBorders>
                            <w:noWrap w:val="0"/>
                            <w:vAlign w:val="top"/>
                          </w:tcPr>
                          <w:p w14:paraId="16F3CDA5">
                            <w:pPr>
                              <w:pStyle w:val="15"/>
                              <w:spacing w:before="49"/>
                              <w:ind w:left="124" w:right="103"/>
                              <w:jc w:val="center"/>
                              <w:rPr>
                                <w:sz w:val="21"/>
                              </w:rPr>
                            </w:pPr>
                            <w:r>
                              <w:rPr>
                                <w:sz w:val="21"/>
                              </w:rPr>
                              <w:t>22.1</w:t>
                            </w:r>
                          </w:p>
                        </w:tc>
                        <w:tc>
                          <w:tcPr>
                            <w:tcW w:w="7372" w:type="dxa"/>
                            <w:tcBorders>
                              <w:top w:val="single" w:color="000000" w:sz="6" w:space="0"/>
                              <w:left w:val="single" w:color="000000" w:sz="6" w:space="0"/>
                              <w:bottom w:val="single" w:color="000000" w:sz="6" w:space="0"/>
                            </w:tcBorders>
                            <w:noWrap w:val="0"/>
                            <w:vAlign w:val="top"/>
                          </w:tcPr>
                          <w:p w14:paraId="1219F5A0">
                            <w:pPr>
                              <w:pStyle w:val="15"/>
                              <w:spacing w:before="80" w:line="262" w:lineRule="exact"/>
                              <w:ind w:left="112"/>
                              <w:rPr>
                                <w:sz w:val="21"/>
                              </w:rPr>
                            </w:pPr>
                            <w:r>
                              <w:rPr>
                                <w:sz w:val="21"/>
                              </w:rPr>
                              <w:t>投标文件递交截止日期和时间、地址：按招标文件第一章投标邀请中规定。</w:t>
                            </w:r>
                          </w:p>
                        </w:tc>
                      </w:tr>
                      <w:tr w14:paraId="4361A9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270B57F0">
                            <w:pPr>
                              <w:pStyle w:val="15"/>
                              <w:spacing w:before="77" w:line="262" w:lineRule="exact"/>
                              <w:ind w:left="3283" w:right="3253"/>
                              <w:jc w:val="center"/>
                              <w:rPr>
                                <w:b/>
                                <w:sz w:val="21"/>
                              </w:rPr>
                            </w:pPr>
                            <w:r>
                              <w:rPr>
                                <w:b/>
                                <w:sz w:val="21"/>
                              </w:rPr>
                              <w:t>五、开标与评标</w:t>
                            </w:r>
                          </w:p>
                        </w:tc>
                      </w:tr>
                      <w:tr w14:paraId="38A621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445F48C4">
                            <w:pPr>
                              <w:pStyle w:val="15"/>
                              <w:spacing w:before="46"/>
                              <w:ind w:left="124" w:right="103"/>
                              <w:jc w:val="center"/>
                              <w:rPr>
                                <w:sz w:val="21"/>
                              </w:rPr>
                            </w:pPr>
                            <w:r>
                              <w:rPr>
                                <w:sz w:val="21"/>
                              </w:rPr>
                              <w:t>26.1</w:t>
                            </w:r>
                          </w:p>
                        </w:tc>
                        <w:tc>
                          <w:tcPr>
                            <w:tcW w:w="7372" w:type="dxa"/>
                            <w:tcBorders>
                              <w:top w:val="single" w:color="000000" w:sz="6" w:space="0"/>
                              <w:left w:val="single" w:color="000000" w:sz="6" w:space="0"/>
                              <w:bottom w:val="single" w:color="000000" w:sz="6" w:space="0"/>
                            </w:tcBorders>
                            <w:noWrap w:val="0"/>
                            <w:vAlign w:val="top"/>
                          </w:tcPr>
                          <w:p w14:paraId="33C0CB69">
                            <w:pPr>
                              <w:pStyle w:val="15"/>
                              <w:spacing w:before="77" w:line="262" w:lineRule="exact"/>
                              <w:ind w:left="112"/>
                              <w:rPr>
                                <w:sz w:val="21"/>
                              </w:rPr>
                            </w:pPr>
                            <w:r>
                              <w:rPr>
                                <w:sz w:val="21"/>
                              </w:rPr>
                              <w:t>评标委员会由 5 名单数组成。</w:t>
                            </w:r>
                          </w:p>
                        </w:tc>
                      </w:tr>
                      <w:tr w14:paraId="0AB80E4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1133" w:type="dxa"/>
                            <w:tcBorders>
                              <w:top w:val="single" w:color="000000" w:sz="6" w:space="0"/>
                              <w:bottom w:val="single" w:color="000000" w:sz="6" w:space="0"/>
                              <w:right w:val="single" w:color="000000" w:sz="6" w:space="0"/>
                            </w:tcBorders>
                            <w:noWrap w:val="0"/>
                            <w:vAlign w:val="top"/>
                          </w:tcPr>
                          <w:p w14:paraId="452FF8DB">
                            <w:pPr>
                              <w:pStyle w:val="15"/>
                              <w:spacing w:before="46"/>
                              <w:ind w:left="124" w:right="103"/>
                              <w:jc w:val="center"/>
                              <w:rPr>
                                <w:sz w:val="21"/>
                              </w:rPr>
                            </w:pPr>
                            <w:r>
                              <w:rPr>
                                <w:sz w:val="21"/>
                              </w:rPr>
                              <w:t>26.4</w:t>
                            </w:r>
                          </w:p>
                        </w:tc>
                        <w:tc>
                          <w:tcPr>
                            <w:tcW w:w="7372" w:type="dxa"/>
                            <w:tcBorders>
                              <w:top w:val="single" w:color="000000" w:sz="6" w:space="0"/>
                              <w:left w:val="single" w:color="000000" w:sz="6" w:space="0"/>
                              <w:bottom w:val="single" w:color="000000" w:sz="6" w:space="0"/>
                            </w:tcBorders>
                            <w:noWrap w:val="0"/>
                            <w:vAlign w:val="top"/>
                          </w:tcPr>
                          <w:p w14:paraId="14D6BAEB">
                            <w:pPr>
                              <w:pStyle w:val="15"/>
                              <w:spacing w:before="77" w:line="262" w:lineRule="exact"/>
                              <w:ind w:left="112"/>
                              <w:rPr>
                                <w:sz w:val="21"/>
                              </w:rPr>
                            </w:pPr>
                            <w:r>
                              <w:rPr>
                                <w:sz w:val="21"/>
                              </w:rPr>
                              <w:t>评标方法：采用综合评分法。</w:t>
                            </w:r>
                          </w:p>
                        </w:tc>
                      </w:tr>
                      <w:tr w14:paraId="7D6621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21" w:hRule="atLeast"/>
                        </w:trPr>
                        <w:tc>
                          <w:tcPr>
                            <w:tcW w:w="1133" w:type="dxa"/>
                            <w:tcBorders>
                              <w:top w:val="single" w:color="000000" w:sz="6" w:space="0"/>
                              <w:bottom w:val="single" w:color="000000" w:sz="6" w:space="0"/>
                              <w:right w:val="single" w:color="000000" w:sz="6" w:space="0"/>
                            </w:tcBorders>
                            <w:noWrap w:val="0"/>
                            <w:vAlign w:val="top"/>
                          </w:tcPr>
                          <w:p w14:paraId="405E8FA1">
                            <w:pPr>
                              <w:pStyle w:val="15"/>
                              <w:rPr>
                                <w:sz w:val="20"/>
                              </w:rPr>
                            </w:pPr>
                          </w:p>
                          <w:p w14:paraId="75B3398C">
                            <w:pPr>
                              <w:pStyle w:val="15"/>
                              <w:spacing w:before="12"/>
                              <w:rPr>
                                <w:sz w:val="28"/>
                              </w:rPr>
                            </w:pPr>
                          </w:p>
                          <w:p w14:paraId="34F9421D">
                            <w:pPr>
                              <w:pStyle w:val="15"/>
                              <w:ind w:left="124" w:right="103"/>
                              <w:jc w:val="center"/>
                              <w:rPr>
                                <w:sz w:val="21"/>
                              </w:rPr>
                            </w:pPr>
                            <w:r>
                              <w:rPr>
                                <w:sz w:val="21"/>
                              </w:rPr>
                              <w:t>30.2</w:t>
                            </w:r>
                          </w:p>
                        </w:tc>
                        <w:tc>
                          <w:tcPr>
                            <w:tcW w:w="7372" w:type="dxa"/>
                            <w:tcBorders>
                              <w:top w:val="single" w:color="000000" w:sz="6" w:space="0"/>
                              <w:left w:val="single" w:color="000000" w:sz="6" w:space="0"/>
                              <w:bottom w:val="single" w:color="000000" w:sz="6" w:space="0"/>
                            </w:tcBorders>
                            <w:noWrap w:val="0"/>
                            <w:vAlign w:val="top"/>
                          </w:tcPr>
                          <w:p w14:paraId="1CEB07CC">
                            <w:pPr>
                              <w:pStyle w:val="15"/>
                              <w:spacing w:before="97" w:line="338" w:lineRule="auto"/>
                              <w:ind w:left="112" w:right="75"/>
                              <w:rPr>
                                <w:sz w:val="21"/>
                              </w:rPr>
                            </w:pPr>
                            <w:r>
                              <w:rPr>
                                <w:sz w:val="21"/>
                              </w:rPr>
                              <w:t>定标原则：推荐综合得分排名第一的投标人为第一中标候选人，排名第二的投标人为第二中标候选人。</w:t>
                            </w:r>
                          </w:p>
                          <w:p w14:paraId="041959A8">
                            <w:pPr>
                              <w:pStyle w:val="15"/>
                              <w:spacing w:line="269" w:lineRule="exact"/>
                              <w:ind w:left="112"/>
                              <w:rPr>
                                <w:sz w:val="21"/>
                              </w:rPr>
                            </w:pPr>
                            <w:r>
                              <w:rPr>
                                <w:sz w:val="21"/>
                              </w:rPr>
                              <w:t>如第二中标候选人报价高于第一中标候选人报价 20%以上的，只推荐一名中标</w:t>
                            </w:r>
                          </w:p>
                          <w:p w14:paraId="6611E404">
                            <w:pPr>
                              <w:pStyle w:val="15"/>
                              <w:spacing w:before="113" w:line="264" w:lineRule="exact"/>
                              <w:ind w:left="112"/>
                              <w:rPr>
                                <w:sz w:val="21"/>
                              </w:rPr>
                            </w:pPr>
                            <w:r>
                              <w:rPr>
                                <w:sz w:val="21"/>
                              </w:rPr>
                              <w:t>候选人。</w:t>
                            </w:r>
                          </w:p>
                        </w:tc>
                      </w:tr>
                      <w:tr w14:paraId="1A34308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trPr>
                        <w:tc>
                          <w:tcPr>
                            <w:tcW w:w="8505" w:type="dxa"/>
                            <w:gridSpan w:val="2"/>
                            <w:tcBorders>
                              <w:top w:val="single" w:color="000000" w:sz="6" w:space="0"/>
                              <w:bottom w:val="single" w:color="000000" w:sz="6" w:space="0"/>
                            </w:tcBorders>
                            <w:noWrap w:val="0"/>
                            <w:vAlign w:val="top"/>
                          </w:tcPr>
                          <w:p w14:paraId="67E02841">
                            <w:pPr>
                              <w:pStyle w:val="15"/>
                              <w:spacing w:before="77" w:line="262" w:lineRule="exact"/>
                              <w:ind w:left="3283" w:right="3253"/>
                              <w:jc w:val="center"/>
                              <w:rPr>
                                <w:b/>
                                <w:sz w:val="21"/>
                              </w:rPr>
                            </w:pPr>
                            <w:r>
                              <w:rPr>
                                <w:b/>
                                <w:sz w:val="21"/>
                              </w:rPr>
                              <w:t>七、授予合同</w:t>
                            </w:r>
                          </w:p>
                        </w:tc>
                      </w:tr>
                      <w:tr w14:paraId="2D8275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5" w:hRule="atLeast"/>
                        </w:trPr>
                        <w:tc>
                          <w:tcPr>
                            <w:tcW w:w="1133" w:type="dxa"/>
                            <w:tcBorders>
                              <w:top w:val="single" w:color="000000" w:sz="6" w:space="0"/>
                              <w:bottom w:val="single" w:color="000000" w:sz="6" w:space="0"/>
                              <w:right w:val="single" w:color="000000" w:sz="6" w:space="0"/>
                            </w:tcBorders>
                            <w:noWrap w:val="0"/>
                            <w:vAlign w:val="top"/>
                          </w:tcPr>
                          <w:p w14:paraId="7B4478A8">
                            <w:pPr>
                              <w:pStyle w:val="15"/>
                              <w:spacing w:before="89"/>
                              <w:ind w:left="124" w:right="103"/>
                              <w:jc w:val="center"/>
                              <w:rPr>
                                <w:sz w:val="21"/>
                              </w:rPr>
                            </w:pPr>
                            <w:r>
                              <w:rPr>
                                <w:sz w:val="21"/>
                              </w:rPr>
                              <w:t>35.1</w:t>
                            </w:r>
                          </w:p>
                        </w:tc>
                        <w:tc>
                          <w:tcPr>
                            <w:tcW w:w="7372" w:type="dxa"/>
                            <w:tcBorders>
                              <w:top w:val="single" w:color="000000" w:sz="6" w:space="0"/>
                              <w:left w:val="single" w:color="000000" w:sz="6" w:space="0"/>
                              <w:bottom w:val="single" w:color="000000" w:sz="6" w:space="0"/>
                            </w:tcBorders>
                            <w:noWrap w:val="0"/>
                            <w:vAlign w:val="top"/>
                          </w:tcPr>
                          <w:p w14:paraId="270517A7">
                            <w:pPr>
                              <w:pStyle w:val="15"/>
                              <w:spacing w:before="89"/>
                              <w:ind w:left="112"/>
                              <w:rPr>
                                <w:sz w:val="21"/>
                              </w:rPr>
                            </w:pPr>
                            <w:r>
                              <w:rPr>
                                <w:sz w:val="21"/>
                              </w:rPr>
                              <w:t>合同签订时间：自《中标通知书》发出之日起三十日内</w:t>
                            </w:r>
                          </w:p>
                        </w:tc>
                      </w:tr>
                      <w:tr w14:paraId="6A6AF05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1133" w:type="dxa"/>
                            <w:tcBorders>
                              <w:top w:val="single" w:color="000000" w:sz="6" w:space="0"/>
                              <w:bottom w:val="single" w:color="000000" w:sz="6" w:space="0"/>
                              <w:right w:val="single" w:color="000000" w:sz="6" w:space="0"/>
                            </w:tcBorders>
                            <w:noWrap w:val="0"/>
                            <w:vAlign w:val="top"/>
                          </w:tcPr>
                          <w:p w14:paraId="67367B14">
                            <w:pPr>
                              <w:pStyle w:val="15"/>
                              <w:spacing w:before="70"/>
                              <w:ind w:left="124" w:right="103"/>
                              <w:jc w:val="center"/>
                              <w:rPr>
                                <w:sz w:val="21"/>
                              </w:rPr>
                            </w:pPr>
                            <w:r>
                              <w:rPr>
                                <w:sz w:val="21"/>
                              </w:rPr>
                              <w:t>37.1</w:t>
                            </w:r>
                          </w:p>
                        </w:tc>
                        <w:tc>
                          <w:tcPr>
                            <w:tcW w:w="7372" w:type="dxa"/>
                            <w:tcBorders>
                              <w:top w:val="single" w:color="000000" w:sz="6" w:space="0"/>
                              <w:left w:val="single" w:color="000000" w:sz="6" w:space="0"/>
                              <w:bottom w:val="single" w:color="000000" w:sz="6" w:space="0"/>
                            </w:tcBorders>
                            <w:noWrap w:val="0"/>
                            <w:vAlign w:val="top"/>
                          </w:tcPr>
                          <w:p w14:paraId="26230C81">
                            <w:pPr>
                              <w:pStyle w:val="15"/>
                              <w:spacing w:before="70"/>
                              <w:ind w:left="112"/>
                              <w:rPr>
                                <w:sz w:val="21"/>
                              </w:rPr>
                            </w:pPr>
                            <w:r>
                              <w:rPr>
                                <w:sz w:val="21"/>
                              </w:rPr>
                              <w:t>履约保证金：无</w:t>
                            </w:r>
                          </w:p>
                        </w:tc>
                      </w:tr>
                      <w:tr w14:paraId="23311CF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8" w:hRule="atLeast"/>
                        </w:trPr>
                        <w:tc>
                          <w:tcPr>
                            <w:tcW w:w="1133" w:type="dxa"/>
                            <w:tcBorders>
                              <w:top w:val="single" w:color="000000" w:sz="6" w:space="0"/>
                              <w:right w:val="single" w:color="000000" w:sz="6" w:space="0"/>
                            </w:tcBorders>
                            <w:noWrap w:val="0"/>
                            <w:vAlign w:val="top"/>
                          </w:tcPr>
                          <w:p w14:paraId="439690C8">
                            <w:pPr>
                              <w:pStyle w:val="15"/>
                              <w:spacing w:before="87"/>
                              <w:ind w:left="124" w:right="103"/>
                              <w:jc w:val="center"/>
                              <w:rPr>
                                <w:sz w:val="21"/>
                              </w:rPr>
                            </w:pPr>
                            <w:r>
                              <w:rPr>
                                <w:sz w:val="21"/>
                              </w:rPr>
                              <w:t>38.1</w:t>
                            </w:r>
                          </w:p>
                        </w:tc>
                        <w:tc>
                          <w:tcPr>
                            <w:tcW w:w="7372" w:type="dxa"/>
                            <w:tcBorders>
                              <w:top w:val="single" w:color="000000" w:sz="6" w:space="0"/>
                              <w:left w:val="single" w:color="000000" w:sz="6" w:space="0"/>
                            </w:tcBorders>
                            <w:noWrap w:val="0"/>
                            <w:vAlign w:val="top"/>
                          </w:tcPr>
                          <w:p w14:paraId="2BE79A3E">
                            <w:pPr>
                              <w:pStyle w:val="15"/>
                              <w:tabs>
                                <w:tab w:val="left" w:pos="536"/>
                              </w:tabs>
                              <w:spacing w:before="94" w:line="264" w:lineRule="exact"/>
                              <w:ind w:left="112"/>
                              <w:rPr>
                                <w:sz w:val="21"/>
                              </w:rPr>
                            </w:pPr>
                            <w:r>
                              <w:rPr>
                                <w:sz w:val="21"/>
                              </w:rPr>
                              <w:t>1.</w:t>
                            </w:r>
                            <w:r>
                              <w:rPr>
                                <w:sz w:val="21"/>
                              </w:rPr>
                              <w:tab/>
                            </w:r>
                            <w:r>
                              <w:rPr>
                                <w:spacing w:val="-3"/>
                                <w:sz w:val="21"/>
                              </w:rPr>
                              <w:t>投标人应签署第六章所附格式的招标代理服务费承诺书，作为投标文件的一部分。</w:t>
                            </w:r>
                          </w:p>
                        </w:tc>
                      </w:tr>
                    </w:tbl>
                    <w:p w14:paraId="18508E82">
                      <w:pPr>
                        <w:pStyle w:val="5"/>
                      </w:pPr>
                    </w:p>
                  </w:txbxContent>
                </v:textbox>
              </v:shape>
            </w:pict>
          </mc:Fallback>
        </mc:AlternateContent>
      </w:r>
      <w:r>
        <w:rPr>
          <w:spacing w:val="-7"/>
        </w:rPr>
        <w:t>该须知前附表的条款项号是与第二章《投标人须知》条款项号对应的，是对第二章《投</w:t>
      </w:r>
      <w:r>
        <w:rPr>
          <w:spacing w:val="-5"/>
        </w:rPr>
        <w:t>标人须知》的补充、修改和完善，如果有矛盾的话，应以本资料表为准。</w:t>
      </w:r>
    </w:p>
    <w:p w14:paraId="2B98E867">
      <w:pPr>
        <w:spacing w:line="417" w:lineRule="auto"/>
        <w:sectPr>
          <w:pgSz w:w="11910" w:h="16840"/>
          <w:pgMar w:top="1360" w:right="1340" w:bottom="1420" w:left="1020" w:header="567" w:footer="1216" w:gutter="0"/>
          <w:pgNumType w:fmt="decimal"/>
          <w:cols w:space="720" w:num="1"/>
        </w:sectPr>
      </w:pPr>
    </w:p>
    <w:p w14:paraId="6BFD7E6C">
      <w:pPr>
        <w:pStyle w:val="5"/>
        <w:spacing w:before="6"/>
        <w:rPr>
          <w:sz w:val="3"/>
        </w:rPr>
      </w:pPr>
    </w:p>
    <w:p w14:paraId="7FFC2452">
      <w:pPr>
        <w:pStyle w:val="5"/>
        <w:rPr>
          <w:sz w:val="20"/>
        </w:rPr>
      </w:pPr>
      <w:bookmarkStart w:id="3" w:name="_bookmark11"/>
      <w:bookmarkEnd w:id="3"/>
      <w:bookmarkStart w:id="4" w:name="_bookmark3"/>
      <w:bookmarkEnd w:id="4"/>
    </w:p>
    <w:p w14:paraId="7C6CFF3A">
      <w:pPr>
        <w:pStyle w:val="5"/>
        <w:rPr>
          <w:sz w:val="20"/>
        </w:rPr>
      </w:pPr>
    </w:p>
    <w:p w14:paraId="5999F3B2">
      <w:pPr>
        <w:pStyle w:val="5"/>
        <w:rPr>
          <w:sz w:val="20"/>
        </w:rPr>
      </w:pPr>
    </w:p>
    <w:p w14:paraId="434503A0">
      <w:pPr>
        <w:pStyle w:val="5"/>
        <w:rPr>
          <w:sz w:val="20"/>
        </w:rPr>
      </w:pPr>
    </w:p>
    <w:p w14:paraId="5F677065">
      <w:pPr>
        <w:pStyle w:val="5"/>
        <w:rPr>
          <w:sz w:val="20"/>
        </w:rPr>
      </w:pPr>
    </w:p>
    <w:p w14:paraId="44DA5B9E">
      <w:pPr>
        <w:pStyle w:val="5"/>
        <w:rPr>
          <w:sz w:val="20"/>
        </w:rPr>
      </w:pPr>
    </w:p>
    <w:p w14:paraId="7B6EB037">
      <w:pPr>
        <w:pStyle w:val="5"/>
        <w:rPr>
          <w:sz w:val="20"/>
        </w:rPr>
      </w:pPr>
    </w:p>
    <w:p w14:paraId="06CF1385">
      <w:pPr>
        <w:pStyle w:val="5"/>
        <w:rPr>
          <w:sz w:val="20"/>
        </w:rPr>
      </w:pPr>
    </w:p>
    <w:p w14:paraId="6EEF0B13">
      <w:pPr>
        <w:pStyle w:val="5"/>
        <w:rPr>
          <w:sz w:val="20"/>
        </w:rPr>
      </w:pPr>
    </w:p>
    <w:p w14:paraId="5237C3F4">
      <w:pPr>
        <w:pStyle w:val="5"/>
        <w:rPr>
          <w:sz w:val="20"/>
        </w:rPr>
      </w:pPr>
    </w:p>
    <w:p w14:paraId="13A9CF97">
      <w:pPr>
        <w:pStyle w:val="5"/>
        <w:rPr>
          <w:sz w:val="20"/>
        </w:rPr>
      </w:pPr>
    </w:p>
    <w:p w14:paraId="6802CAE4">
      <w:pPr>
        <w:pStyle w:val="5"/>
        <w:rPr>
          <w:sz w:val="20"/>
        </w:rPr>
      </w:pPr>
    </w:p>
    <w:p w14:paraId="27E2D3FF">
      <w:pPr>
        <w:pStyle w:val="5"/>
        <w:rPr>
          <w:sz w:val="20"/>
        </w:rPr>
      </w:pPr>
    </w:p>
    <w:p w14:paraId="0FCBA23B">
      <w:pPr>
        <w:pStyle w:val="5"/>
        <w:rPr>
          <w:sz w:val="20"/>
        </w:rPr>
      </w:pPr>
    </w:p>
    <w:p w14:paraId="2BB71CF2">
      <w:pPr>
        <w:pStyle w:val="5"/>
        <w:rPr>
          <w:sz w:val="20"/>
        </w:rPr>
      </w:pPr>
    </w:p>
    <w:p w14:paraId="3A5A9918">
      <w:pPr>
        <w:pStyle w:val="5"/>
        <w:rPr>
          <w:sz w:val="20"/>
        </w:rPr>
      </w:pPr>
    </w:p>
    <w:p w14:paraId="0AA87E94">
      <w:pPr>
        <w:pStyle w:val="5"/>
        <w:rPr>
          <w:sz w:val="20"/>
        </w:rPr>
      </w:pPr>
    </w:p>
    <w:p w14:paraId="180CB0A7">
      <w:pPr>
        <w:pStyle w:val="5"/>
        <w:spacing w:before="1"/>
      </w:pPr>
    </w:p>
    <w:p w14:paraId="38B4BFA1">
      <w:pPr>
        <w:pStyle w:val="5"/>
        <w:rPr>
          <w:sz w:val="20"/>
        </w:rPr>
      </w:pPr>
      <w:bookmarkStart w:id="5" w:name="_bookmark48"/>
      <w:bookmarkEnd w:id="5"/>
    </w:p>
    <w:p w14:paraId="3A357846">
      <w:pPr>
        <w:pStyle w:val="3"/>
        <w:spacing w:before="173"/>
        <w:sectPr>
          <w:pgSz w:w="11910" w:h="16840"/>
          <w:pgMar w:top="1360" w:right="1340" w:bottom="1420" w:left="1020" w:header="567" w:footer="1216" w:gutter="0"/>
          <w:pgNumType w:fmt="decimal"/>
          <w:cols w:space="720" w:num="1"/>
        </w:sectPr>
      </w:pPr>
      <w:bookmarkStart w:id="6" w:name="_bookmark49"/>
      <w:bookmarkEnd w:id="6"/>
      <w:r>
        <w:t>第</w:t>
      </w:r>
      <w:r>
        <w:rPr>
          <w:rFonts w:hint="eastAsia"/>
          <w:lang w:val="en-US" w:eastAsia="zh-CN"/>
        </w:rPr>
        <w:t>三</w:t>
      </w:r>
      <w:r>
        <w:t>章 用户需求书</w:t>
      </w:r>
    </w:p>
    <w:p w14:paraId="09A7FBBF">
      <w:pPr>
        <w:spacing w:before="173"/>
        <w:ind w:firstLine="3855" w:firstLineChars="1200"/>
        <w:rPr>
          <w:b/>
          <w:sz w:val="32"/>
          <w:szCs w:val="36"/>
          <w:lang w:val="en-US"/>
        </w:rPr>
      </w:pPr>
      <w:r>
        <w:rPr>
          <w:rFonts w:hint="eastAsia"/>
          <w:b/>
          <w:sz w:val="32"/>
          <w:szCs w:val="36"/>
          <w:lang w:val="en-US"/>
        </w:rPr>
        <w:t>用户需求书</w:t>
      </w:r>
    </w:p>
    <w:p w14:paraId="68107428">
      <w:pPr>
        <w:spacing w:before="173"/>
        <w:ind w:left="398"/>
        <w:rPr>
          <w:b/>
          <w:sz w:val="21"/>
          <w:lang w:val="en-US"/>
        </w:rPr>
      </w:pPr>
      <w:r>
        <w:rPr>
          <w:rFonts w:hint="eastAsia"/>
          <w:b/>
          <w:sz w:val="21"/>
          <w:lang w:val="en-US"/>
        </w:rPr>
        <w:t>一．说明</w:t>
      </w:r>
    </w:p>
    <w:p w14:paraId="7E4956EF">
      <w:pPr>
        <w:pStyle w:val="14"/>
        <w:numPr>
          <w:ilvl w:val="0"/>
          <w:numId w:val="3"/>
        </w:numPr>
        <w:tabs>
          <w:tab w:val="left" w:pos="819"/>
        </w:tabs>
        <w:spacing w:before="139" w:line="364" w:lineRule="auto"/>
        <w:ind w:right="457"/>
        <w:jc w:val="both"/>
        <w:rPr>
          <w:b/>
          <w:sz w:val="21"/>
        </w:rPr>
      </w:pPr>
      <w:r>
        <w:rPr>
          <w:b/>
          <w:spacing w:val="-1"/>
          <w:sz w:val="21"/>
        </w:rPr>
        <w:t>投标人须对本项目为单位的服务进行整体响应，任何只对其中一部分内容进行的响应都被</w:t>
      </w:r>
      <w:r>
        <w:rPr>
          <w:b/>
          <w:sz w:val="21"/>
        </w:rPr>
        <w:t>视为无效响应。</w:t>
      </w:r>
    </w:p>
    <w:p w14:paraId="41FCE431">
      <w:pPr>
        <w:pStyle w:val="14"/>
        <w:numPr>
          <w:ilvl w:val="0"/>
          <w:numId w:val="3"/>
        </w:numPr>
        <w:tabs>
          <w:tab w:val="left" w:pos="819"/>
        </w:tabs>
        <w:spacing w:line="364" w:lineRule="auto"/>
        <w:ind w:right="457"/>
        <w:jc w:val="both"/>
        <w:rPr>
          <w:b/>
          <w:sz w:val="21"/>
        </w:rPr>
      </w:pPr>
      <w:r>
        <w:rPr>
          <w:b/>
          <w:spacing w:val="-1"/>
          <w:sz w:val="21"/>
        </w:rPr>
        <w:t>如投标人所提供的产品涉及节能产品政府采购品目清单中加★号的，则必须为列入“节能产品政府采购品目清单”且在有效期内的政府强制采购节能产品，提供节能产品认证证书复印件及《节能产品政府采购品目清单》中投标产品所在清单页并对所投产品作出明显标</w:t>
      </w:r>
      <w:r>
        <w:rPr>
          <w:b/>
          <w:spacing w:val="26"/>
          <w:sz w:val="21"/>
        </w:rPr>
        <w:t>示</w:t>
      </w:r>
      <w:r>
        <w:rPr>
          <w:b/>
          <w:sz w:val="21"/>
        </w:rPr>
        <w:t>（</w:t>
      </w:r>
      <w:r>
        <w:rPr>
          <w:b/>
          <w:spacing w:val="10"/>
          <w:sz w:val="21"/>
        </w:rPr>
        <w:t xml:space="preserve"> 如划线、圈记等</w:t>
      </w:r>
      <w:r>
        <w:rPr>
          <w:b/>
          <w:spacing w:val="23"/>
          <w:sz w:val="21"/>
        </w:rPr>
        <w:t>）</w:t>
      </w:r>
      <w:r>
        <w:rPr>
          <w:b/>
          <w:spacing w:val="7"/>
          <w:sz w:val="21"/>
        </w:rPr>
        <w:t>。“ 节能产品政府采购品目清单” 可参见中国政府采购网</w:t>
      </w:r>
    </w:p>
    <w:p w14:paraId="23B52447">
      <w:pPr>
        <w:spacing w:line="268" w:lineRule="exact"/>
        <w:ind w:left="818"/>
        <w:rPr>
          <w:b/>
          <w:sz w:val="21"/>
        </w:rPr>
      </w:pPr>
      <w:r>
        <w:rPr>
          <w:b/>
          <w:sz w:val="21"/>
        </w:rPr>
        <w:t>（</w:t>
      </w:r>
      <w:r>
        <w:fldChar w:fldCharType="begin"/>
      </w:r>
      <w:r>
        <w:instrText xml:space="preserve"> HYPERLINK "http://www.ccgp.gov.cn/" \h </w:instrText>
      </w:r>
      <w:r>
        <w:fldChar w:fldCharType="separate"/>
      </w:r>
      <w:r>
        <w:rPr>
          <w:b/>
          <w:sz w:val="21"/>
        </w:rPr>
        <w:t>http://www.ccgp.gov.cn</w:t>
      </w:r>
      <w:r>
        <w:rPr>
          <w:b/>
          <w:sz w:val="21"/>
        </w:rPr>
        <w:fldChar w:fldCharType="end"/>
      </w:r>
      <w:r>
        <w:rPr>
          <w:b/>
          <w:sz w:val="21"/>
        </w:rPr>
        <w:t>）。</w:t>
      </w:r>
    </w:p>
    <w:p w14:paraId="5B239533">
      <w:pPr>
        <w:pStyle w:val="14"/>
        <w:numPr>
          <w:ilvl w:val="0"/>
          <w:numId w:val="3"/>
        </w:numPr>
        <w:tabs>
          <w:tab w:val="left" w:pos="818"/>
          <w:tab w:val="left" w:pos="819"/>
        </w:tabs>
        <w:spacing w:before="139"/>
        <w:ind w:hanging="421"/>
        <w:rPr>
          <w:sz w:val="21"/>
        </w:rPr>
      </w:pPr>
      <w:r>
        <w:rPr>
          <w:b/>
          <w:spacing w:val="-2"/>
          <w:sz w:val="21"/>
        </w:rPr>
        <w:t>采购标的所属行业：其他未列明行业</w:t>
      </w:r>
      <w:r>
        <w:rPr>
          <w:sz w:val="21"/>
        </w:rPr>
        <w:t>。</w:t>
      </w:r>
    </w:p>
    <w:p w14:paraId="1F5BFA7F">
      <w:pPr>
        <w:pStyle w:val="5"/>
        <w:spacing w:before="10" w:after="1"/>
        <w:rPr>
          <w:sz w:val="10"/>
        </w:rPr>
      </w:pPr>
    </w:p>
    <w:tbl>
      <w:tblPr>
        <w:tblStyle w:val="10"/>
        <w:tblW w:w="0" w:type="auto"/>
        <w:tblInd w:w="58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205"/>
        <w:gridCol w:w="2742"/>
        <w:gridCol w:w="2394"/>
      </w:tblGrid>
      <w:tr w14:paraId="203E8C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3205" w:type="dxa"/>
            <w:tcBorders>
              <w:bottom w:val="single" w:color="000000" w:sz="6" w:space="0"/>
              <w:right w:val="single" w:color="000000" w:sz="6" w:space="0"/>
            </w:tcBorders>
            <w:shd w:val="clear" w:color="auto" w:fill="EDEBE0"/>
            <w:noWrap w:val="0"/>
            <w:vAlign w:val="top"/>
          </w:tcPr>
          <w:p w14:paraId="4898D1AC">
            <w:pPr>
              <w:pStyle w:val="15"/>
              <w:spacing w:before="99"/>
              <w:ind w:left="59" w:right="37"/>
              <w:jc w:val="center"/>
              <w:rPr>
                <w:b/>
                <w:sz w:val="21"/>
              </w:rPr>
            </w:pPr>
            <w:r>
              <w:rPr>
                <w:b/>
                <w:sz w:val="21"/>
              </w:rPr>
              <w:t>采购内容</w:t>
            </w:r>
          </w:p>
        </w:tc>
        <w:tc>
          <w:tcPr>
            <w:tcW w:w="2742" w:type="dxa"/>
            <w:tcBorders>
              <w:left w:val="single" w:color="000000" w:sz="6" w:space="0"/>
              <w:bottom w:val="single" w:color="000000" w:sz="6" w:space="0"/>
              <w:right w:val="single" w:color="000000" w:sz="6" w:space="0"/>
            </w:tcBorders>
            <w:shd w:val="clear" w:color="auto" w:fill="EDEBE0"/>
            <w:noWrap w:val="0"/>
            <w:vAlign w:val="top"/>
          </w:tcPr>
          <w:p w14:paraId="4D182639">
            <w:pPr>
              <w:pStyle w:val="15"/>
              <w:spacing w:before="99"/>
              <w:ind w:left="1037" w:right="1016"/>
              <w:jc w:val="center"/>
              <w:rPr>
                <w:b/>
                <w:sz w:val="21"/>
              </w:rPr>
            </w:pPr>
            <w:r>
              <w:rPr>
                <w:b/>
                <w:sz w:val="21"/>
              </w:rPr>
              <w:t>服务期</w:t>
            </w:r>
          </w:p>
        </w:tc>
        <w:tc>
          <w:tcPr>
            <w:tcW w:w="2394" w:type="dxa"/>
            <w:tcBorders>
              <w:left w:val="single" w:color="000000" w:sz="6" w:space="0"/>
              <w:bottom w:val="single" w:color="000000" w:sz="6" w:space="0"/>
            </w:tcBorders>
            <w:shd w:val="clear" w:color="auto" w:fill="EDEBE0"/>
            <w:noWrap w:val="0"/>
            <w:vAlign w:val="top"/>
          </w:tcPr>
          <w:p w14:paraId="3DAF833F">
            <w:pPr>
              <w:pStyle w:val="15"/>
              <w:spacing w:before="99"/>
              <w:ind w:left="333" w:right="303"/>
              <w:jc w:val="center"/>
              <w:rPr>
                <w:b/>
                <w:sz w:val="21"/>
              </w:rPr>
            </w:pPr>
            <w:r>
              <w:rPr>
                <w:b/>
                <w:sz w:val="21"/>
              </w:rPr>
              <w:t>最高限价</w:t>
            </w:r>
          </w:p>
        </w:tc>
      </w:tr>
      <w:tr w14:paraId="21DF02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55" w:hRule="atLeast"/>
        </w:trPr>
        <w:tc>
          <w:tcPr>
            <w:tcW w:w="3205" w:type="dxa"/>
            <w:tcBorders>
              <w:top w:val="single" w:color="000000" w:sz="6" w:space="0"/>
              <w:right w:val="single" w:color="000000" w:sz="6" w:space="0"/>
            </w:tcBorders>
            <w:noWrap w:val="0"/>
            <w:vAlign w:val="top"/>
          </w:tcPr>
          <w:p w14:paraId="73589C8A">
            <w:pPr>
              <w:pStyle w:val="15"/>
              <w:ind w:left="59" w:right="37"/>
              <w:jc w:val="center"/>
              <w:rPr>
                <w:sz w:val="21"/>
                <w:lang w:val="en-US"/>
              </w:rPr>
            </w:pPr>
          </w:p>
          <w:p w14:paraId="3724D6D9">
            <w:pPr>
              <w:pStyle w:val="15"/>
              <w:ind w:left="59" w:right="37"/>
              <w:jc w:val="center"/>
              <w:rPr>
                <w:sz w:val="21"/>
              </w:rPr>
            </w:pPr>
            <w:r>
              <w:rPr>
                <w:rFonts w:hint="eastAsia"/>
                <w:sz w:val="21"/>
              </w:rPr>
              <w:t>2024年广州医科大学附属妇女儿童医疗中心官网升级改版项目</w:t>
            </w:r>
          </w:p>
        </w:tc>
        <w:tc>
          <w:tcPr>
            <w:tcW w:w="2742" w:type="dxa"/>
            <w:tcBorders>
              <w:top w:val="single" w:color="000000" w:sz="6" w:space="0"/>
              <w:left w:val="single" w:color="000000" w:sz="6" w:space="0"/>
              <w:right w:val="single" w:color="000000" w:sz="6" w:space="0"/>
            </w:tcBorders>
            <w:noWrap w:val="0"/>
            <w:vAlign w:val="top"/>
          </w:tcPr>
          <w:p w14:paraId="5A52CDFA">
            <w:pPr>
              <w:pStyle w:val="15"/>
              <w:spacing w:before="161" w:line="360" w:lineRule="auto"/>
              <w:jc w:val="center"/>
              <w:rPr>
                <w:sz w:val="21"/>
              </w:rPr>
            </w:pPr>
            <w:r>
              <w:rPr>
                <w:sz w:val="21"/>
              </w:rPr>
              <w:t>自合同签订之日起</w:t>
            </w:r>
            <w:r>
              <w:rPr>
                <w:rFonts w:hint="eastAsia"/>
                <w:sz w:val="21"/>
                <w:lang w:eastAsia="zh-CN"/>
              </w:rPr>
              <w:t>一</w:t>
            </w:r>
            <w:r>
              <w:rPr>
                <w:sz w:val="21"/>
              </w:rPr>
              <w:t>年或</w:t>
            </w:r>
          </w:p>
          <w:p w14:paraId="4A026814">
            <w:pPr>
              <w:pStyle w:val="15"/>
              <w:spacing w:before="161" w:line="360" w:lineRule="auto"/>
              <w:jc w:val="center"/>
              <w:rPr>
                <w:sz w:val="21"/>
              </w:rPr>
            </w:pPr>
            <w:r>
              <w:rPr>
                <w:sz w:val="21"/>
              </w:rPr>
              <w:t>项目完成</w:t>
            </w:r>
          </w:p>
        </w:tc>
        <w:tc>
          <w:tcPr>
            <w:tcW w:w="2394" w:type="dxa"/>
            <w:tcBorders>
              <w:top w:val="single" w:color="000000" w:sz="6" w:space="0"/>
              <w:left w:val="single" w:color="000000" w:sz="6" w:space="0"/>
            </w:tcBorders>
            <w:noWrap w:val="0"/>
            <w:vAlign w:val="top"/>
          </w:tcPr>
          <w:p w14:paraId="4282936A">
            <w:pPr>
              <w:pStyle w:val="15"/>
              <w:rPr>
                <w:sz w:val="20"/>
              </w:rPr>
            </w:pPr>
          </w:p>
          <w:p w14:paraId="007349A7">
            <w:pPr>
              <w:pStyle w:val="15"/>
              <w:spacing w:before="138"/>
              <w:ind w:left="453" w:right="303"/>
              <w:jc w:val="center"/>
              <w:rPr>
                <w:sz w:val="21"/>
              </w:rPr>
            </w:pPr>
            <w:r>
              <w:rPr>
                <w:color w:val="C00000"/>
                <w:sz w:val="21"/>
              </w:rPr>
              <w:t>人民币</w:t>
            </w:r>
            <w:r>
              <w:rPr>
                <w:rFonts w:hint="eastAsia"/>
                <w:color w:val="C00000"/>
                <w:sz w:val="21"/>
                <w:lang w:val="en-US" w:eastAsia="zh-CN"/>
              </w:rPr>
              <w:t>35</w:t>
            </w:r>
            <w:r>
              <w:rPr>
                <w:color w:val="C00000"/>
                <w:sz w:val="21"/>
              </w:rPr>
              <w:t>万元</w:t>
            </w:r>
          </w:p>
        </w:tc>
      </w:tr>
    </w:tbl>
    <w:p w14:paraId="76A88EEF">
      <w:pPr>
        <w:spacing w:before="3"/>
        <w:ind w:left="398"/>
        <w:rPr>
          <w:b/>
          <w:sz w:val="21"/>
        </w:rPr>
      </w:pPr>
    </w:p>
    <w:p w14:paraId="68F34B44">
      <w:pPr>
        <w:keepNext w:val="0"/>
        <w:keepLines w:val="0"/>
        <w:pageBreakBefore w:val="0"/>
        <w:widowControl w:val="0"/>
        <w:kinsoku/>
        <w:wordWrap/>
        <w:overflowPunct/>
        <w:topLinePunct w:val="0"/>
        <w:autoSpaceDE w:val="0"/>
        <w:autoSpaceDN w:val="0"/>
        <w:bidi w:val="0"/>
        <w:adjustRightInd/>
        <w:snapToGrid/>
        <w:spacing w:before="3" w:line="400" w:lineRule="exact"/>
        <w:ind w:left="398"/>
        <w:textAlignment w:val="auto"/>
        <w:rPr>
          <w:b/>
          <w:sz w:val="21"/>
        </w:rPr>
      </w:pPr>
      <w:r>
        <w:rPr>
          <w:rFonts w:hint="eastAsia"/>
          <w:b/>
          <w:sz w:val="21"/>
          <w:lang w:eastAsia="zh-CN"/>
        </w:rPr>
        <w:t>二</w:t>
      </w:r>
      <w:r>
        <w:rPr>
          <w:b/>
          <w:sz w:val="21"/>
        </w:rPr>
        <w:t>、 项目概况</w:t>
      </w:r>
    </w:p>
    <w:p w14:paraId="0CBAF467">
      <w:pPr>
        <w:pStyle w:val="5"/>
        <w:keepNext w:val="0"/>
        <w:keepLines w:val="0"/>
        <w:pageBreakBefore w:val="0"/>
        <w:widowControl w:val="0"/>
        <w:kinsoku/>
        <w:wordWrap/>
        <w:overflowPunct/>
        <w:topLinePunct w:val="0"/>
        <w:autoSpaceDE w:val="0"/>
        <w:autoSpaceDN w:val="0"/>
        <w:bidi w:val="0"/>
        <w:adjustRightInd/>
        <w:snapToGrid/>
        <w:spacing w:line="400" w:lineRule="exact"/>
        <w:ind w:right="345" w:firstLine="400" w:firstLineChars="200"/>
        <w:textAlignment w:val="auto"/>
        <w:rPr>
          <w:spacing w:val="-5"/>
        </w:rPr>
      </w:pPr>
      <w:r>
        <w:rPr>
          <w:rFonts w:hint="eastAsia"/>
          <w:spacing w:val="-5"/>
          <w:lang w:val="en-US" w:eastAsia="zh-CN"/>
        </w:rPr>
        <w:t>2</w:t>
      </w:r>
      <w:r>
        <w:rPr>
          <w:rFonts w:hint="eastAsia"/>
          <w:spacing w:val="-5"/>
        </w:rPr>
        <w:t>024年广州医科大学附属妇女儿童医疗中心官网升级改版服务采购项目</w:t>
      </w:r>
      <w:r>
        <w:rPr>
          <w:spacing w:val="-5"/>
        </w:rPr>
        <w:t>。</w:t>
      </w:r>
    </w:p>
    <w:p w14:paraId="6E83B8B0">
      <w:pPr>
        <w:pStyle w:val="5"/>
        <w:keepNext w:val="0"/>
        <w:keepLines w:val="0"/>
        <w:pageBreakBefore w:val="0"/>
        <w:widowControl w:val="0"/>
        <w:kinsoku/>
        <w:wordWrap/>
        <w:overflowPunct/>
        <w:topLinePunct w:val="0"/>
        <w:autoSpaceDE w:val="0"/>
        <w:autoSpaceDN w:val="0"/>
        <w:bidi w:val="0"/>
        <w:adjustRightInd/>
        <w:snapToGrid/>
        <w:spacing w:line="400" w:lineRule="exact"/>
        <w:ind w:right="345" w:firstLine="422" w:firstLineChars="200"/>
        <w:textAlignment w:val="auto"/>
        <w:rPr>
          <w:rFonts w:hint="eastAsia" w:eastAsia="宋体"/>
          <w:b/>
          <w:bCs/>
          <w:spacing w:val="-5"/>
          <w:lang w:eastAsia="zh-CN"/>
        </w:rPr>
      </w:pPr>
      <w:r>
        <w:rPr>
          <w:rFonts w:hint="eastAsia"/>
          <w:b/>
          <w:sz w:val="21"/>
          <w:lang w:eastAsia="zh-CN"/>
        </w:rPr>
        <w:t>三</w:t>
      </w:r>
      <w:r>
        <w:rPr>
          <w:b/>
          <w:sz w:val="21"/>
        </w:rPr>
        <w:t xml:space="preserve">、 </w:t>
      </w:r>
      <w:r>
        <w:rPr>
          <w:rFonts w:hint="eastAsia"/>
          <w:b/>
          <w:bCs/>
          <w:spacing w:val="-5"/>
          <w:lang w:eastAsia="zh-CN"/>
        </w:rPr>
        <w:t>项目服务内容及要求</w:t>
      </w:r>
    </w:p>
    <w:p w14:paraId="44B17FFD">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bCs w:val="0"/>
          <w:sz w:val="21"/>
        </w:rPr>
      </w:pPr>
      <w:r>
        <w:rPr>
          <w:rFonts w:hint="eastAsia"/>
          <w:b/>
          <w:bCs w:val="0"/>
          <w:sz w:val="21"/>
          <w:lang w:eastAsia="zh-CN"/>
        </w:rPr>
        <w:t>（一）</w:t>
      </w:r>
      <w:r>
        <w:rPr>
          <w:rFonts w:hint="eastAsia"/>
          <w:b/>
          <w:bCs w:val="0"/>
          <w:sz w:val="21"/>
        </w:rPr>
        <w:t>网站建设目标</w:t>
      </w:r>
    </w:p>
    <w:p w14:paraId="3FCBF39D">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1．树立医院形象：为进一步扩大医院影响力，提升医院形象，拟对目前在用的医院网站进行全面改版，力求建成一个功能强大、业内一流的医院网站</w:t>
      </w:r>
      <w:r>
        <w:rPr>
          <w:rFonts w:hint="eastAsia"/>
          <w:b w:val="0"/>
          <w:bCs/>
          <w:sz w:val="21"/>
          <w:lang w:eastAsia="zh-CN"/>
        </w:rPr>
        <w:t>，</w:t>
      </w:r>
      <w:r>
        <w:rPr>
          <w:rFonts w:hint="eastAsia"/>
          <w:b w:val="0"/>
          <w:bCs/>
          <w:sz w:val="21"/>
        </w:rPr>
        <w:t>树立一个智慧、诚信、迅速且稳健发展的信息化医院形象，赢得政府、行业和社会公众的支持与认可。</w:t>
      </w:r>
    </w:p>
    <w:p w14:paraId="603D04DE">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2．网站风格：风格应简洁明了，具备亲和力，展现仁心善术，惠泽妇儿的宗旨。界面操作便捷友好，提升用户体验。</w:t>
      </w:r>
    </w:p>
    <w:p w14:paraId="1E0D3A97">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3．维护与更新：确保网站可以轻松地进行更新和维护，保持信息的及时性和准确性。</w:t>
      </w:r>
    </w:p>
    <w:p w14:paraId="07AAC15B">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bCs w:val="0"/>
          <w:sz w:val="21"/>
        </w:rPr>
      </w:pPr>
      <w:r>
        <w:rPr>
          <w:rFonts w:hint="default"/>
          <w:b/>
          <w:bCs w:val="0"/>
          <w:sz w:val="21"/>
        </w:rPr>
        <w:t>（</w:t>
      </w:r>
      <w:r>
        <w:rPr>
          <w:rFonts w:hint="eastAsia"/>
          <w:b/>
          <w:bCs w:val="0"/>
          <w:sz w:val="21"/>
        </w:rPr>
        <w:t>二</w:t>
      </w:r>
      <w:r>
        <w:rPr>
          <w:rFonts w:hint="default"/>
          <w:b/>
          <w:bCs w:val="0"/>
          <w:sz w:val="21"/>
        </w:rPr>
        <w:t>）</w:t>
      </w:r>
      <w:r>
        <w:rPr>
          <w:rFonts w:hint="eastAsia"/>
          <w:b/>
          <w:bCs w:val="0"/>
          <w:sz w:val="21"/>
        </w:rPr>
        <w:t>、设计宗旨和原则</w:t>
      </w:r>
    </w:p>
    <w:p w14:paraId="0BA3E6B8">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医院网站平台的建设旨在宣传品牌和形象，必须遵循明确的原则以确保设计的完整性、一致性和可行性。设计原则如下：</w:t>
      </w:r>
    </w:p>
    <w:p w14:paraId="35673D43">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1、整体风格一致：确保各栏目和内容的连贯性，维护整体视觉和体验的一致性。</w:t>
      </w:r>
    </w:p>
    <w:p w14:paraId="31A760E2">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2、页面简洁大方：设计要简洁美观，便于用户浏览和使用。</w:t>
      </w:r>
    </w:p>
    <w:p w14:paraId="5A952EA7">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3、灵活可扩展：构建在方便、灵活的可扩展平台基础上，以便于未来的功能扩展和更新。</w:t>
      </w:r>
    </w:p>
    <w:p w14:paraId="71C8FF64">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4、技术先进：采用先进的技术，紧跟时代发展潮流，遵循行业标准和规范。</w:t>
      </w:r>
    </w:p>
    <w:p w14:paraId="741AC09A">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val="0"/>
          <w:bCs/>
          <w:sz w:val="21"/>
        </w:rPr>
      </w:pPr>
      <w:r>
        <w:rPr>
          <w:rFonts w:hint="eastAsia"/>
          <w:b w:val="0"/>
          <w:bCs/>
          <w:sz w:val="21"/>
        </w:rPr>
        <w:t>5、安全保密：确保系统与信息的安全性和保密性，保护用户和医院的数据安全。</w:t>
      </w:r>
    </w:p>
    <w:p w14:paraId="2F74A8A1">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bCs w:val="0"/>
          <w:sz w:val="21"/>
        </w:rPr>
      </w:pPr>
      <w:r>
        <w:rPr>
          <w:rFonts w:hint="eastAsia"/>
          <w:b/>
          <w:bCs w:val="0"/>
          <w:sz w:val="21"/>
          <w:lang w:eastAsia="zh-CN"/>
        </w:rPr>
        <w:t>（三）</w:t>
      </w:r>
      <w:r>
        <w:rPr>
          <w:rFonts w:hint="eastAsia"/>
          <w:b/>
          <w:bCs w:val="0"/>
          <w:sz w:val="21"/>
        </w:rPr>
        <w:t>、网站功能技术要求及网站栏目建设要求</w:t>
      </w:r>
    </w:p>
    <w:p w14:paraId="13A0D7B0">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bCs w:val="0"/>
          <w:sz w:val="21"/>
        </w:rPr>
      </w:pPr>
      <w:r>
        <w:rPr>
          <w:rFonts w:hint="eastAsia"/>
          <w:b/>
          <w:bCs w:val="0"/>
          <w:sz w:val="21"/>
        </w:rPr>
        <w:t>1、网站功能技术要求：</w:t>
      </w:r>
    </w:p>
    <w:tbl>
      <w:tblPr>
        <w:tblStyle w:val="10"/>
        <w:tblW w:w="9100" w:type="dxa"/>
        <w:tblCellSpacing w:w="0" w:type="dxa"/>
        <w:tblInd w:w="384" w:type="dxa"/>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shd w:val="clear" w:color="auto" w:fill="FFFFFF"/>
        <w:tblLayout w:type="fixed"/>
        <w:tblCellMar>
          <w:top w:w="0" w:type="dxa"/>
          <w:left w:w="0" w:type="dxa"/>
          <w:bottom w:w="0" w:type="dxa"/>
          <w:right w:w="0" w:type="dxa"/>
        </w:tblCellMar>
      </w:tblPr>
      <w:tblGrid>
        <w:gridCol w:w="1419"/>
        <w:gridCol w:w="7681"/>
      </w:tblGrid>
      <w:tr w14:paraId="5E089B34">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shd w:val="clear" w:color="auto" w:fill="FFFFFF"/>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2EDA9533">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平台适配</w:t>
            </w:r>
          </w:p>
        </w:tc>
        <w:tc>
          <w:tcPr>
            <w:tcW w:w="7681" w:type="dxa"/>
            <w:tcBorders>
              <w:tl2br w:val="nil"/>
              <w:tr2bl w:val="nil"/>
            </w:tcBorders>
            <w:shd w:val="clear" w:color="auto" w:fill="FFFFFF"/>
            <w:vAlign w:val="center"/>
          </w:tcPr>
          <w:p w14:paraId="41491691">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▲应确保主站和子站在同一域名、同一后台、同一数据库、同一套系统的基础上运行。当不同设备（</w:t>
            </w:r>
            <w:r>
              <w:rPr>
                <w:rFonts w:ascii="宋体" w:hAnsi="宋体" w:eastAsia="宋体" w:cs="宋体"/>
                <w:kern w:val="0"/>
                <w:sz w:val="21"/>
                <w:szCs w:val="21"/>
              </w:rPr>
              <w:t>PC、手机、平板）访问网站前台时，系统应能够根据设备类型自动调整显示界面，确保不同设备的访问用户都能获得最佳的体验。</w:t>
            </w:r>
          </w:p>
          <w:p w14:paraId="2176D389">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▲应支持</w:t>
            </w:r>
            <w:r>
              <w:rPr>
                <w:rFonts w:ascii="宋体" w:hAnsi="宋体" w:eastAsia="宋体" w:cs="宋体"/>
                <w:kern w:val="0"/>
                <w:sz w:val="21"/>
                <w:szCs w:val="21"/>
              </w:rPr>
              <w:t>IOS、Android等主流移动操作系统，覆盖华为、荣耀、小米、VIVO、OPPO、苹果等主流品牌机型，并设计个性化的移动门户模板，实现移动平台的全面覆盖。</w:t>
            </w:r>
          </w:p>
          <w:p w14:paraId="72113ECC">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应支持基于</w:t>
            </w:r>
            <w:r>
              <w:rPr>
                <w:rFonts w:ascii="宋体" w:hAnsi="宋体" w:eastAsia="宋体" w:cs="宋体"/>
                <w:kern w:val="0"/>
                <w:sz w:val="21"/>
                <w:szCs w:val="21"/>
              </w:rPr>
              <w:t>HTML5开发，通过HTML5 APP Cache及本地存储功能，将常用的Javascript、CSS和图片文件缓存在设备内存中，从而缩短启动时间，提高浏览速度，提升用户体验。</w:t>
            </w:r>
          </w:p>
          <w:p w14:paraId="6B55A8D7">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▲手机版和</w:t>
            </w:r>
            <w:r>
              <w:rPr>
                <w:rFonts w:ascii="宋体" w:hAnsi="宋体" w:eastAsia="宋体" w:cs="宋体"/>
                <w:kern w:val="0"/>
                <w:sz w:val="21"/>
                <w:szCs w:val="21"/>
              </w:rPr>
              <w:t>PAD版的网站栏目和数据应自动继承PC版的网站栏目和数据，实现网站内容一次发布，多屏内容实时同步更新。</w:t>
            </w:r>
          </w:p>
          <w:p w14:paraId="34621251">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手机版应具备以下功能：</w:t>
            </w:r>
          </w:p>
          <w:p w14:paraId="2698F2DE">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文字格式自动排版：</w:t>
            </w:r>
            <w:r>
              <w:rPr>
                <w:rFonts w:hint="eastAsia" w:ascii="宋体" w:hAnsi="宋体" w:eastAsia="宋体" w:cs="宋体"/>
                <w:kern w:val="0"/>
                <w:sz w:val="21"/>
                <w:szCs w:val="21"/>
              </w:rPr>
              <w:t>确保文字在移动设备上显示清晰且易于阅读。</w:t>
            </w:r>
          </w:p>
          <w:p w14:paraId="309F21D4">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图片自动转换压缩：</w:t>
            </w:r>
            <w:r>
              <w:rPr>
                <w:rFonts w:hint="eastAsia" w:ascii="宋体" w:hAnsi="宋体" w:eastAsia="宋体" w:cs="宋体"/>
                <w:kern w:val="0"/>
                <w:sz w:val="21"/>
                <w:szCs w:val="21"/>
              </w:rPr>
              <w:t>优化图片尺寸和质量，以适应移动设备显示，提高加载速度。</w:t>
            </w:r>
          </w:p>
          <w:p w14:paraId="3C487E59">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表格滑动显示：</w:t>
            </w:r>
            <w:r>
              <w:rPr>
                <w:rFonts w:hint="eastAsia" w:ascii="宋体" w:hAnsi="宋体" w:eastAsia="宋体" w:cs="宋体"/>
                <w:kern w:val="0"/>
                <w:sz w:val="21"/>
                <w:szCs w:val="21"/>
              </w:rPr>
              <w:t>支持表格在移动设备上的滑动显示，便于用户查看完整内容。</w:t>
            </w:r>
          </w:p>
          <w:p w14:paraId="72374648">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视频格式转换：</w:t>
            </w:r>
            <w:r>
              <w:rPr>
                <w:rFonts w:hint="eastAsia" w:ascii="宋体" w:hAnsi="宋体" w:eastAsia="宋体" w:cs="宋体"/>
                <w:kern w:val="0"/>
                <w:sz w:val="21"/>
                <w:szCs w:val="21"/>
              </w:rPr>
              <w:t>上传视频时自动转换为适合移动设备播放的格式，确保视频在移动设备上播放流畅，画面清晰。</w:t>
            </w:r>
          </w:p>
        </w:tc>
      </w:tr>
      <w:tr w14:paraId="1D87FE35">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20919B66">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机型适配</w:t>
            </w:r>
          </w:p>
        </w:tc>
        <w:tc>
          <w:tcPr>
            <w:tcW w:w="7681" w:type="dxa"/>
            <w:tcBorders>
              <w:tl2br w:val="nil"/>
              <w:tr2bl w:val="nil"/>
            </w:tcBorders>
            <w:shd w:val="clear" w:color="auto" w:fill="FFFFFF"/>
            <w:vAlign w:val="center"/>
          </w:tcPr>
          <w:p w14:paraId="584B1679">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网站应适配各种品牌的电脑系统、手机和平板设备，确保在不同品牌和型号的设备上都能提供最佳的使用体验。</w:t>
            </w:r>
          </w:p>
        </w:tc>
      </w:tr>
      <w:tr w14:paraId="3000C25C">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07612776">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浏览器适配</w:t>
            </w:r>
          </w:p>
        </w:tc>
        <w:tc>
          <w:tcPr>
            <w:tcW w:w="7681" w:type="dxa"/>
            <w:tcBorders>
              <w:tl2br w:val="nil"/>
              <w:tr2bl w:val="nil"/>
            </w:tcBorders>
            <w:shd w:val="clear" w:color="auto" w:fill="FFFFFF"/>
            <w:vAlign w:val="center"/>
          </w:tcPr>
          <w:p w14:paraId="67D94DDF">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▲兼容微软Edge、谷歌Chrome、360浏览器、搜狗浏览器、苹果Safari、UC浏览器、QQ浏览器、火狐Firefox等移动设备的浏览器</w:t>
            </w:r>
          </w:p>
        </w:tc>
      </w:tr>
      <w:tr w14:paraId="4D4796B8">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585A06C1">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应用适配</w:t>
            </w:r>
          </w:p>
        </w:tc>
        <w:tc>
          <w:tcPr>
            <w:tcW w:w="7681" w:type="dxa"/>
            <w:tcBorders>
              <w:tl2br w:val="nil"/>
              <w:tr2bl w:val="nil"/>
            </w:tcBorders>
            <w:shd w:val="clear" w:color="auto" w:fill="FFFFFF"/>
            <w:vAlign w:val="center"/>
          </w:tcPr>
          <w:p w14:paraId="449C9DA9">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▲适配APP内浏览器网站(包括微信、微博、手机QQ等)</w:t>
            </w:r>
          </w:p>
        </w:tc>
      </w:tr>
      <w:tr w14:paraId="5FF84C89">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71685DA0">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自动跳转</w:t>
            </w:r>
          </w:p>
        </w:tc>
        <w:tc>
          <w:tcPr>
            <w:tcW w:w="7681" w:type="dxa"/>
            <w:tcBorders>
              <w:tl2br w:val="nil"/>
              <w:tr2bl w:val="nil"/>
            </w:tcBorders>
            <w:shd w:val="clear" w:color="auto" w:fill="FFFFFF"/>
            <w:vAlign w:val="center"/>
          </w:tcPr>
          <w:p w14:paraId="58FB7F89">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自适应</w:t>
            </w:r>
          </w:p>
        </w:tc>
      </w:tr>
      <w:tr w14:paraId="6D5DE67F">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106D78E9">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网站设计</w:t>
            </w:r>
          </w:p>
        </w:tc>
        <w:tc>
          <w:tcPr>
            <w:tcW w:w="7681" w:type="dxa"/>
            <w:tcBorders>
              <w:tl2br w:val="nil"/>
              <w:tr2bl w:val="nil"/>
            </w:tcBorders>
            <w:shd w:val="clear" w:color="auto" w:fill="FFFFFF"/>
            <w:vAlign w:val="center"/>
          </w:tcPr>
          <w:p w14:paraId="167B6848">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设计+前端+后端</w:t>
            </w:r>
          </w:p>
        </w:tc>
      </w:tr>
      <w:tr w14:paraId="364D5C95">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48B10871">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建站服务</w:t>
            </w:r>
          </w:p>
        </w:tc>
        <w:tc>
          <w:tcPr>
            <w:tcW w:w="7681" w:type="dxa"/>
            <w:tcBorders>
              <w:tl2br w:val="nil"/>
              <w:tr2bl w:val="nil"/>
            </w:tcBorders>
            <w:shd w:val="clear" w:color="auto" w:fill="FFFFFF"/>
            <w:vAlign w:val="center"/>
          </w:tcPr>
          <w:p w14:paraId="4046A836">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▲设计图调整满意为止。</w:t>
            </w:r>
          </w:p>
          <w:p w14:paraId="62281DC2">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▲交付完整前端后端代码。</w:t>
            </w:r>
          </w:p>
        </w:tc>
      </w:tr>
      <w:tr w14:paraId="65009DB8">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2D5D6741">
            <w:pPr>
              <w:widowControl/>
              <w:shd w:val="clear" w:color="auto" w:fill="FFFFFF"/>
              <w:spacing w:line="420" w:lineRule="atLeast"/>
              <w:jc w:val="center"/>
              <w:rPr>
                <w:rFonts w:ascii="宋体" w:hAnsi="宋体" w:eastAsia="宋体" w:cs="宋体"/>
                <w:b/>
                <w:kern w:val="0"/>
                <w:sz w:val="21"/>
                <w:szCs w:val="21"/>
              </w:rPr>
            </w:pPr>
            <w:r>
              <w:rPr>
                <w:rFonts w:hint="eastAsia" w:ascii="宋体" w:hAnsi="宋体" w:eastAsia="宋体" w:cs="宋体"/>
                <w:b/>
                <w:kern w:val="0"/>
                <w:sz w:val="21"/>
                <w:szCs w:val="21"/>
              </w:rPr>
              <w:t>UI设计</w:t>
            </w:r>
          </w:p>
        </w:tc>
        <w:tc>
          <w:tcPr>
            <w:tcW w:w="7681" w:type="dxa"/>
            <w:tcBorders>
              <w:tl2br w:val="nil"/>
              <w:tr2bl w:val="nil"/>
            </w:tcBorders>
            <w:shd w:val="clear" w:color="auto" w:fill="FFFFFF"/>
            <w:vAlign w:val="center"/>
          </w:tcPr>
          <w:p w14:paraId="26EDA2D3">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设计采用最新的设计风格，确保网站的现代感和视觉吸引力。</w:t>
            </w:r>
          </w:p>
          <w:p w14:paraId="48DFFBF6">
            <w:pPr>
              <w:numPr>
                <w:ilvl w:val="0"/>
                <w:numId w:val="4"/>
              </w:num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所有网站栏目的页面都应提供完整的</w:t>
            </w:r>
            <w:r>
              <w:rPr>
                <w:rFonts w:ascii="宋体" w:hAnsi="宋体" w:eastAsia="宋体" w:cs="宋体"/>
                <w:kern w:val="0"/>
                <w:sz w:val="21"/>
                <w:szCs w:val="21"/>
              </w:rPr>
              <w:t>UI设计图，以确保设计的一致性和美观性。</w:t>
            </w:r>
          </w:p>
        </w:tc>
      </w:tr>
    </w:tbl>
    <w:p w14:paraId="4B0A23E8">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val="0"/>
          <w:bCs/>
          <w:sz w:val="21"/>
        </w:rPr>
      </w:pPr>
    </w:p>
    <w:p w14:paraId="2321EBBD">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bCs w:val="0"/>
          <w:sz w:val="21"/>
        </w:rPr>
      </w:pPr>
      <w:r>
        <w:rPr>
          <w:rFonts w:hint="eastAsia"/>
          <w:b/>
          <w:bCs w:val="0"/>
          <w:sz w:val="21"/>
          <w:lang w:val="en-US" w:eastAsia="zh-CN"/>
        </w:rPr>
        <w:t>2</w:t>
      </w:r>
      <w:r>
        <w:rPr>
          <w:rFonts w:hint="eastAsia"/>
          <w:b/>
          <w:bCs w:val="0"/>
          <w:sz w:val="21"/>
        </w:rPr>
        <w:t>、网站栏目建设要求：</w:t>
      </w:r>
    </w:p>
    <w:tbl>
      <w:tblPr>
        <w:tblStyle w:val="10"/>
        <w:tblW w:w="9050" w:type="dxa"/>
        <w:tblInd w:w="468" w:type="dxa"/>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shd w:val="clear" w:color="auto" w:fill="FFFFFF"/>
        <w:tblLayout w:type="fixed"/>
        <w:tblCellMar>
          <w:top w:w="0" w:type="dxa"/>
          <w:left w:w="57" w:type="dxa"/>
          <w:bottom w:w="0" w:type="dxa"/>
          <w:right w:w="0" w:type="dxa"/>
        </w:tblCellMar>
      </w:tblPr>
      <w:tblGrid>
        <w:gridCol w:w="1016"/>
        <w:gridCol w:w="1630"/>
        <w:gridCol w:w="6404"/>
      </w:tblGrid>
      <w:tr w14:paraId="56BC377F">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shd w:val="clear" w:color="auto" w:fill="FFFFFF"/>
          <w:tblCellMar>
            <w:top w:w="0" w:type="dxa"/>
            <w:left w:w="57" w:type="dxa"/>
            <w:bottom w:w="0" w:type="dxa"/>
            <w:right w:w="0" w:type="dxa"/>
          </w:tblCellMar>
        </w:tblPrEx>
        <w:tc>
          <w:tcPr>
            <w:tcW w:w="1016" w:type="dxa"/>
            <w:vMerge w:val="restart"/>
            <w:tcBorders>
              <w:tl2br w:val="nil"/>
              <w:tr2bl w:val="nil"/>
            </w:tcBorders>
            <w:shd w:val="clear" w:color="auto" w:fill="FFFFFF"/>
            <w:vAlign w:val="center"/>
          </w:tcPr>
          <w:p w14:paraId="4AF1D559">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引导页</w:t>
            </w:r>
          </w:p>
        </w:tc>
        <w:tc>
          <w:tcPr>
            <w:tcW w:w="1630" w:type="dxa"/>
            <w:tcBorders>
              <w:tl2br w:val="nil"/>
              <w:tr2bl w:val="nil"/>
            </w:tcBorders>
            <w:shd w:val="clear" w:color="auto" w:fill="FFFFFF"/>
            <w:vAlign w:val="center"/>
          </w:tcPr>
          <w:p w14:paraId="3E62FDB1">
            <w:pPr>
              <w:widowControl/>
              <w:shd w:val="clear" w:color="auto" w:fill="FFFFFF"/>
              <w:spacing w:line="420" w:lineRule="atLeast"/>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联系方式</w:t>
            </w:r>
          </w:p>
        </w:tc>
        <w:tc>
          <w:tcPr>
            <w:tcW w:w="6404" w:type="dxa"/>
            <w:tcBorders>
              <w:tl2br w:val="nil"/>
              <w:tr2bl w:val="nil"/>
            </w:tcBorders>
            <w:shd w:val="clear" w:color="auto" w:fill="FFFFFF"/>
            <w:vAlign w:val="center"/>
          </w:tcPr>
          <w:p w14:paraId="563A7959">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主要展示：logo，二维码，联系电话，地址，预约挂号和医院导航入口。</w:t>
            </w:r>
          </w:p>
        </w:tc>
      </w:tr>
      <w:tr w14:paraId="6E5F3DAE">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3E1FE98C">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7B33E87C">
            <w:pPr>
              <w:widowControl/>
              <w:shd w:val="clear" w:color="auto" w:fill="FFFFFF"/>
              <w:spacing w:line="420" w:lineRule="atLeast"/>
              <w:jc w:val="center"/>
              <w:rPr>
                <w:rFonts w:hint="eastAsia" w:ascii="宋体" w:hAnsi="宋体" w:eastAsia="宋体" w:cs="宋体"/>
                <w:b/>
                <w:bCs/>
                <w:kern w:val="0"/>
                <w:sz w:val="21"/>
                <w:szCs w:val="21"/>
                <w:lang w:eastAsia="zh-CN"/>
              </w:rPr>
            </w:pPr>
            <w:r>
              <w:rPr>
                <w:rFonts w:hint="eastAsia" w:cs="宋体"/>
                <w:b/>
                <w:bCs/>
                <w:kern w:val="0"/>
                <w:sz w:val="21"/>
                <w:szCs w:val="21"/>
                <w:lang w:eastAsia="zh-CN"/>
              </w:rPr>
              <w:t>中文版</w:t>
            </w:r>
          </w:p>
        </w:tc>
        <w:tc>
          <w:tcPr>
            <w:tcW w:w="6404" w:type="dxa"/>
            <w:tcBorders>
              <w:tl2br w:val="nil"/>
              <w:tr2bl w:val="nil"/>
            </w:tcBorders>
            <w:shd w:val="clear" w:color="auto" w:fill="FFFFFF"/>
            <w:vAlign w:val="center"/>
          </w:tcPr>
          <w:p w14:paraId="6C04F553">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公众版入口，主要展示：首页，医院概况，院务公开，</w:t>
            </w:r>
            <w:r>
              <w:rPr>
                <w:rFonts w:hint="eastAsia" w:cs="宋体"/>
                <w:kern w:val="0"/>
                <w:sz w:val="21"/>
                <w:szCs w:val="21"/>
                <w:lang w:eastAsia="zh-CN"/>
              </w:rPr>
              <w:t>患者服务，医疗特色，科室导航，医生介绍，护理之窗，科研教学，党群建设，公益事业，资讯中心，</w:t>
            </w:r>
            <w:r>
              <w:rPr>
                <w:rFonts w:hint="eastAsia" w:ascii="宋体" w:hAnsi="宋体" w:eastAsia="宋体" w:cs="宋体"/>
                <w:kern w:val="0"/>
                <w:sz w:val="21"/>
                <w:szCs w:val="21"/>
              </w:rPr>
              <w:t>人才招聘等</w:t>
            </w:r>
          </w:p>
        </w:tc>
      </w:tr>
      <w:tr w14:paraId="5B96AE71">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404BB605">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1CBF138">
            <w:pPr>
              <w:widowControl/>
              <w:shd w:val="clear" w:color="auto" w:fill="FFFFFF"/>
              <w:spacing w:line="420" w:lineRule="atLeast"/>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英文版</w:t>
            </w:r>
          </w:p>
        </w:tc>
        <w:tc>
          <w:tcPr>
            <w:tcW w:w="6404" w:type="dxa"/>
            <w:tcBorders>
              <w:tl2br w:val="nil"/>
              <w:tr2bl w:val="nil"/>
            </w:tcBorders>
            <w:shd w:val="clear" w:color="auto" w:fill="FFFFFF"/>
            <w:vAlign w:val="center"/>
          </w:tcPr>
          <w:p w14:paraId="4CAE6202">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医院</w:t>
            </w:r>
            <w:r>
              <w:rPr>
                <w:rFonts w:hint="eastAsia" w:cs="宋体"/>
                <w:kern w:val="0"/>
                <w:sz w:val="21"/>
                <w:szCs w:val="21"/>
                <w:lang w:eastAsia="zh-CN"/>
              </w:rPr>
              <w:t>网站</w:t>
            </w:r>
            <w:r>
              <w:rPr>
                <w:rFonts w:hint="eastAsia" w:ascii="宋体" w:hAnsi="宋体" w:eastAsia="宋体" w:cs="宋体"/>
                <w:kern w:val="0"/>
                <w:sz w:val="21"/>
                <w:szCs w:val="21"/>
              </w:rPr>
              <w:t>英文版本</w:t>
            </w:r>
          </w:p>
        </w:tc>
      </w:tr>
      <w:tr w14:paraId="309ECE8E">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restart"/>
            <w:tcBorders>
              <w:tl2br w:val="nil"/>
              <w:tr2bl w:val="nil"/>
            </w:tcBorders>
            <w:shd w:val="clear" w:color="auto" w:fill="FFFFFF"/>
            <w:vAlign w:val="center"/>
          </w:tcPr>
          <w:p w14:paraId="02202904">
            <w:pPr>
              <w:shd w:val="clear" w:color="auto" w:fill="FFFFFF"/>
              <w:spacing w:line="420" w:lineRule="atLeast"/>
              <w:jc w:val="center"/>
              <w:rPr>
                <w:rFonts w:hint="eastAsia" w:ascii="宋体" w:hAnsi="宋体" w:eastAsia="宋体" w:cs="宋体"/>
                <w:b/>
                <w:kern w:val="0"/>
                <w:sz w:val="21"/>
                <w:szCs w:val="21"/>
                <w:lang w:eastAsia="zh-CN"/>
              </w:rPr>
            </w:pPr>
            <w:r>
              <w:rPr>
                <w:rFonts w:hint="eastAsia" w:cs="宋体"/>
                <w:b/>
                <w:kern w:val="0"/>
                <w:sz w:val="21"/>
                <w:szCs w:val="21"/>
                <w:lang w:eastAsia="zh-CN"/>
              </w:rPr>
              <w:t>首页</w:t>
            </w:r>
          </w:p>
        </w:tc>
        <w:tc>
          <w:tcPr>
            <w:tcW w:w="1630" w:type="dxa"/>
            <w:tcBorders>
              <w:tl2br w:val="nil"/>
              <w:tr2bl w:val="nil"/>
            </w:tcBorders>
            <w:shd w:val="clear" w:color="auto" w:fill="FFFFFF"/>
            <w:vAlign w:val="center"/>
          </w:tcPr>
          <w:p w14:paraId="164CA69B">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医院概况</w:t>
            </w:r>
          </w:p>
        </w:tc>
        <w:tc>
          <w:tcPr>
            <w:tcW w:w="6404" w:type="dxa"/>
            <w:tcBorders>
              <w:tl2br w:val="nil"/>
              <w:tr2bl w:val="nil"/>
            </w:tcBorders>
            <w:shd w:val="clear" w:color="auto" w:fill="FFFFFF"/>
            <w:vAlign w:val="center"/>
          </w:tcPr>
          <w:p w14:paraId="5108989D">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主要包括医院简介，领导团队，组织架构，执业登记，院训宗旨，医院环境等模块，实现包含图片、文字、视频等展示方式，帮助用户快速了解医院基础信息和实力规模</w:t>
            </w:r>
          </w:p>
        </w:tc>
      </w:tr>
      <w:tr w14:paraId="459C4253">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783F3ED3">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1BA68D59">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院务公开</w:t>
            </w:r>
          </w:p>
        </w:tc>
        <w:tc>
          <w:tcPr>
            <w:tcW w:w="6404" w:type="dxa"/>
            <w:tcBorders>
              <w:tl2br w:val="nil"/>
              <w:tr2bl w:val="nil"/>
            </w:tcBorders>
            <w:shd w:val="clear" w:color="auto" w:fill="FFFFFF"/>
            <w:vAlign w:val="center"/>
          </w:tcPr>
          <w:p w14:paraId="5CFCABAB">
            <w:pPr>
              <w:numPr>
                <w:ilvl w:val="0"/>
                <w:numId w:val="5"/>
              </w:numPr>
              <w:autoSpaceDE w:val="0"/>
              <w:autoSpaceDN w:val="0"/>
              <w:adjustRightInd w:val="0"/>
              <w:spacing w:line="36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主要包括</w:t>
            </w:r>
            <w:r>
              <w:rPr>
                <w:rFonts w:hint="eastAsia" w:ascii="宋体" w:hAnsi="宋体" w:eastAsia="宋体" w:cs="宋体"/>
                <w:sz w:val="21"/>
                <w:szCs w:val="21"/>
              </w:rPr>
              <w:t>政策法规，信息公开，运营情况，预决算公开，行风建设等模块，</w:t>
            </w:r>
            <w:r>
              <w:rPr>
                <w:rFonts w:hint="eastAsia" w:ascii="宋体" w:hAnsi="宋体" w:eastAsia="宋体" w:cs="宋体"/>
                <w:kern w:val="0"/>
                <w:sz w:val="21"/>
                <w:szCs w:val="21"/>
              </w:rPr>
              <w:t>实现包含图片、文字、视频等展示方式，帮助用户快速全面得获取医院相关信息</w:t>
            </w:r>
          </w:p>
        </w:tc>
      </w:tr>
      <w:tr w14:paraId="5AA94FA3">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4C35C507">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D57466D">
            <w:pPr>
              <w:widowControl/>
              <w:shd w:val="clear" w:color="auto" w:fill="FFFFFF"/>
              <w:spacing w:line="420" w:lineRule="atLeast"/>
              <w:jc w:val="center"/>
              <w:rPr>
                <w:rFonts w:hint="eastAsia" w:ascii="宋体" w:hAnsi="宋体" w:eastAsia="宋体" w:cs="宋体"/>
                <w:b/>
                <w:kern w:val="0"/>
                <w:sz w:val="21"/>
                <w:szCs w:val="21"/>
                <w:lang w:val="zh-CN" w:eastAsia="zh-CN" w:bidi="zh-CN"/>
              </w:rPr>
            </w:pPr>
            <w:r>
              <w:rPr>
                <w:rFonts w:hint="eastAsia" w:cs="宋体"/>
                <w:b/>
                <w:kern w:val="0"/>
                <w:sz w:val="21"/>
                <w:szCs w:val="21"/>
                <w:lang w:val="zh-CN" w:eastAsia="zh-CN" w:bidi="zh-CN"/>
              </w:rPr>
              <w:t>患者服务</w:t>
            </w:r>
          </w:p>
        </w:tc>
        <w:tc>
          <w:tcPr>
            <w:tcW w:w="6404" w:type="dxa"/>
            <w:tcBorders>
              <w:tl2br w:val="nil"/>
              <w:tr2bl w:val="nil"/>
            </w:tcBorders>
            <w:shd w:val="clear" w:color="auto" w:fill="FFFFFF"/>
            <w:vAlign w:val="center"/>
          </w:tcPr>
          <w:p w14:paraId="1C6AD1BD">
            <w:pPr>
              <w:numPr>
                <w:ilvl w:val="0"/>
                <w:numId w:val="5"/>
              </w:numPr>
              <w:autoSpaceDE w:val="0"/>
              <w:autoSpaceDN w:val="0"/>
              <w:adjustRightInd w:val="0"/>
              <w:spacing w:line="360" w:lineRule="auto"/>
              <w:ind w:firstLine="420" w:firstLineChars="200"/>
              <w:rPr>
                <w:rFonts w:hint="eastAsia" w:ascii="宋体" w:hAnsi="宋体" w:eastAsia="宋体" w:cs="宋体"/>
                <w:sz w:val="21"/>
                <w:szCs w:val="21"/>
                <w:lang w:val="zh-CN" w:eastAsia="zh-CN" w:bidi="zh-CN"/>
              </w:rPr>
            </w:pPr>
            <w:r>
              <w:rPr>
                <w:rFonts w:hint="eastAsia" w:ascii="宋体" w:hAnsi="宋体" w:eastAsia="宋体" w:cs="宋体"/>
                <w:sz w:val="21"/>
                <w:szCs w:val="21"/>
              </w:rPr>
              <w:t>主要包括预约挂号，</w:t>
            </w:r>
            <w:r>
              <w:rPr>
                <w:rFonts w:hint="eastAsia" w:cs="宋体"/>
                <w:sz w:val="21"/>
                <w:szCs w:val="21"/>
                <w:lang w:eastAsia="zh-CN"/>
              </w:rPr>
              <w:t>来院交通路线</w:t>
            </w:r>
            <w:r>
              <w:rPr>
                <w:rFonts w:hint="eastAsia" w:ascii="宋体" w:hAnsi="宋体" w:eastAsia="宋体" w:cs="宋体"/>
                <w:sz w:val="21"/>
                <w:szCs w:val="21"/>
              </w:rPr>
              <w:t>，院内导航，医保服务，就诊指引，便民服务等模块，旨在帮助用户快速全面的了解就诊相关事宜，提高来院就诊效率</w:t>
            </w:r>
            <w:r>
              <w:rPr>
                <w:rFonts w:hint="eastAsia" w:cs="宋体"/>
                <w:sz w:val="21"/>
                <w:szCs w:val="21"/>
                <w:lang w:eastAsia="zh-CN"/>
              </w:rPr>
              <w:t>，提供更全面的就医相关指引信息</w:t>
            </w:r>
          </w:p>
        </w:tc>
      </w:tr>
      <w:tr w14:paraId="6710B77C">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25A31745">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4D1DE10E">
            <w:pPr>
              <w:widowControl/>
              <w:shd w:val="clear" w:color="auto" w:fill="FFFFFF"/>
              <w:spacing w:line="420" w:lineRule="atLeast"/>
              <w:jc w:val="center"/>
              <w:rPr>
                <w:rFonts w:hint="eastAsia" w:cs="宋体"/>
                <w:b/>
                <w:kern w:val="0"/>
                <w:sz w:val="21"/>
                <w:szCs w:val="21"/>
                <w:lang w:val="zh-CN" w:eastAsia="zh-CN" w:bidi="zh-CN"/>
              </w:rPr>
            </w:pPr>
            <w:r>
              <w:rPr>
                <w:rFonts w:hint="eastAsia" w:cs="宋体"/>
                <w:b/>
                <w:kern w:val="0"/>
                <w:sz w:val="21"/>
                <w:szCs w:val="21"/>
                <w:lang w:eastAsia="zh-CN"/>
              </w:rPr>
              <w:t>医疗特色</w:t>
            </w:r>
          </w:p>
        </w:tc>
        <w:tc>
          <w:tcPr>
            <w:tcW w:w="6404" w:type="dxa"/>
            <w:tcBorders>
              <w:tl2br w:val="nil"/>
              <w:tr2bl w:val="nil"/>
            </w:tcBorders>
            <w:shd w:val="clear" w:color="auto" w:fill="FFFFFF"/>
            <w:vAlign w:val="center"/>
          </w:tcPr>
          <w:p w14:paraId="11AF0F10">
            <w:pPr>
              <w:numPr>
                <w:ilvl w:val="0"/>
                <w:numId w:val="5"/>
              </w:numPr>
              <w:autoSpaceDE w:val="0"/>
              <w:autoSpaceDN w:val="0"/>
              <w:adjustRightIn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kern w:val="0"/>
                <w:sz w:val="21"/>
                <w:szCs w:val="21"/>
              </w:rPr>
              <w:t>主要包括</w:t>
            </w:r>
            <w:r>
              <w:rPr>
                <w:rFonts w:hint="eastAsia" w:cs="宋体"/>
                <w:kern w:val="0"/>
                <w:sz w:val="21"/>
                <w:szCs w:val="21"/>
                <w:lang w:eastAsia="zh-CN"/>
              </w:rPr>
              <w:t>重点专科、特色技术、诊疗中心、健康科普等，展示市妇儿医疗中心高精尖特色技术</w:t>
            </w:r>
          </w:p>
        </w:tc>
      </w:tr>
      <w:tr w14:paraId="47BF7DBF">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512A7844">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034F8A2B">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科室导航</w:t>
            </w:r>
          </w:p>
        </w:tc>
        <w:tc>
          <w:tcPr>
            <w:tcW w:w="6404" w:type="dxa"/>
            <w:tcBorders>
              <w:tl2br w:val="nil"/>
              <w:tr2bl w:val="nil"/>
            </w:tcBorders>
            <w:shd w:val="clear" w:color="auto" w:fill="FFFFFF"/>
            <w:vAlign w:val="center"/>
          </w:tcPr>
          <w:p w14:paraId="0E906C00">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一级按院区划分，包含珠江新城院区、儿童院区、妇婴院区、增城院区、白云院区等；二级根据院区部门划分，包含内科部、外科部、妇产科部、药学部、临床检验部等；三级根据部门科室划分，如内科部包含儿童呼吸科、消化科、儿童保健科等，科学的科室导航方式能让用户快速定位所需科室信息</w:t>
            </w:r>
          </w:p>
        </w:tc>
      </w:tr>
      <w:tr w14:paraId="08898827">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088702A3">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5B047625">
            <w:pPr>
              <w:widowControl/>
              <w:shd w:val="clear" w:color="auto" w:fill="FFFFFF"/>
              <w:spacing w:line="420" w:lineRule="atLeast"/>
              <w:jc w:val="center"/>
              <w:rPr>
                <w:rFonts w:hint="eastAsia" w:ascii="宋体" w:hAnsi="宋体" w:eastAsia="宋体" w:cs="宋体"/>
                <w:b/>
                <w:kern w:val="0"/>
                <w:sz w:val="21"/>
                <w:szCs w:val="21"/>
                <w:lang w:eastAsia="zh-CN"/>
              </w:rPr>
            </w:pPr>
            <w:r>
              <w:rPr>
                <w:rFonts w:hint="eastAsia" w:cs="宋体"/>
                <w:b/>
                <w:kern w:val="0"/>
                <w:sz w:val="21"/>
                <w:szCs w:val="21"/>
                <w:lang w:eastAsia="zh-CN"/>
              </w:rPr>
              <w:t>医生介绍</w:t>
            </w:r>
          </w:p>
        </w:tc>
        <w:tc>
          <w:tcPr>
            <w:tcW w:w="6404" w:type="dxa"/>
            <w:tcBorders>
              <w:tl2br w:val="nil"/>
              <w:tr2bl w:val="nil"/>
            </w:tcBorders>
            <w:shd w:val="clear" w:color="auto" w:fill="FFFFFF"/>
            <w:vAlign w:val="center"/>
          </w:tcPr>
          <w:p w14:paraId="4843FD86">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eastAsia="zh-CN"/>
              </w:rPr>
            </w:pPr>
            <w:r>
              <w:rPr>
                <w:rFonts w:hint="eastAsia" w:cs="宋体"/>
                <w:kern w:val="0"/>
                <w:sz w:val="21"/>
                <w:szCs w:val="21"/>
                <w:lang w:eastAsia="zh-CN"/>
              </w:rPr>
              <w:t>同上，展示医生简介，便于浏览者想精准定位寻找目标医生</w:t>
            </w:r>
          </w:p>
        </w:tc>
      </w:tr>
      <w:tr w14:paraId="394CDF5D">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7D912F04">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04D95BE6">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护理之窗</w:t>
            </w:r>
          </w:p>
        </w:tc>
        <w:tc>
          <w:tcPr>
            <w:tcW w:w="6404" w:type="dxa"/>
            <w:tcBorders>
              <w:tl2br w:val="nil"/>
              <w:tr2bl w:val="nil"/>
            </w:tcBorders>
            <w:shd w:val="clear" w:color="auto" w:fill="FFFFFF"/>
            <w:vAlign w:val="center"/>
          </w:tcPr>
          <w:p w14:paraId="5C5BBA8A">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主要包括护理概况、护理动向、护理教学、护理科研、护理风采、专题栏目、叙事护理等模块，实现包含图片、文字、视频等展示方式，全面展示医院护理相关特色与成就</w:t>
            </w:r>
          </w:p>
        </w:tc>
      </w:tr>
      <w:tr w14:paraId="52F3CE84">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1F35A17A">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38F678C1">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科研教学</w:t>
            </w:r>
          </w:p>
        </w:tc>
        <w:tc>
          <w:tcPr>
            <w:tcW w:w="6404" w:type="dxa"/>
            <w:tcBorders>
              <w:tl2br w:val="nil"/>
              <w:tr2bl w:val="nil"/>
            </w:tcBorders>
            <w:shd w:val="clear" w:color="auto" w:fill="FFFFFF"/>
            <w:vAlign w:val="center"/>
          </w:tcPr>
          <w:p w14:paraId="18780DE2">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主要包括科研前沿、科研平台、本科教育、研究生培养、规范化培训、继续教育、进修教育、模拟医学中心等模块，实现包含图片、文字、视频等展示方式，展示医院对教学的规划以及成果</w:t>
            </w:r>
          </w:p>
        </w:tc>
      </w:tr>
      <w:tr w14:paraId="1C9F62E9">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1CA935E8">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358E11EE">
            <w:pPr>
              <w:widowControl/>
              <w:shd w:val="clear" w:color="auto" w:fill="FFFFFF"/>
              <w:spacing w:line="420" w:lineRule="atLeast"/>
              <w:jc w:val="center"/>
              <w:rPr>
                <w:rFonts w:hint="eastAsia" w:ascii="宋体" w:hAnsi="宋体" w:eastAsia="宋体" w:cs="宋体"/>
                <w:b/>
                <w:kern w:val="0"/>
                <w:sz w:val="21"/>
                <w:szCs w:val="21"/>
                <w:lang w:val="zh-CN" w:eastAsia="zh-CN" w:bidi="zh-CN"/>
              </w:rPr>
            </w:pPr>
            <w:r>
              <w:rPr>
                <w:rFonts w:hint="eastAsia" w:ascii="宋体" w:hAnsi="宋体" w:eastAsia="宋体" w:cs="宋体"/>
                <w:b/>
                <w:kern w:val="0"/>
                <w:sz w:val="21"/>
                <w:szCs w:val="21"/>
              </w:rPr>
              <w:t>党群</w:t>
            </w:r>
            <w:r>
              <w:rPr>
                <w:rFonts w:hint="eastAsia" w:cs="宋体"/>
                <w:b/>
                <w:kern w:val="0"/>
                <w:sz w:val="21"/>
                <w:szCs w:val="21"/>
                <w:lang w:eastAsia="zh-CN"/>
              </w:rPr>
              <w:t>建设</w:t>
            </w:r>
          </w:p>
        </w:tc>
        <w:tc>
          <w:tcPr>
            <w:tcW w:w="6404" w:type="dxa"/>
            <w:tcBorders>
              <w:tl2br w:val="nil"/>
              <w:tr2bl w:val="nil"/>
            </w:tcBorders>
            <w:shd w:val="clear" w:color="auto" w:fill="FFFFFF"/>
            <w:vAlign w:val="center"/>
          </w:tcPr>
          <w:p w14:paraId="438B1CCB">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主要包括基层党建，廉政</w:t>
            </w:r>
            <w:r>
              <w:rPr>
                <w:rFonts w:hint="eastAsia" w:cs="宋体"/>
                <w:kern w:val="0"/>
                <w:sz w:val="21"/>
                <w:szCs w:val="21"/>
                <w:lang w:eastAsia="zh-CN"/>
              </w:rPr>
              <w:t>建设</w:t>
            </w:r>
            <w:r>
              <w:rPr>
                <w:rFonts w:hint="eastAsia" w:ascii="宋体" w:hAnsi="宋体" w:eastAsia="宋体" w:cs="宋体"/>
                <w:kern w:val="0"/>
                <w:sz w:val="21"/>
                <w:szCs w:val="21"/>
              </w:rPr>
              <w:t>，工会建设，共青团等模块，实现包含图片、文字、视频等展示方式</w:t>
            </w:r>
          </w:p>
        </w:tc>
      </w:tr>
      <w:tr w14:paraId="560E09EB">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47528C23">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07C8637D">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公益事业</w:t>
            </w:r>
          </w:p>
        </w:tc>
        <w:tc>
          <w:tcPr>
            <w:tcW w:w="6404" w:type="dxa"/>
            <w:tcBorders>
              <w:tl2br w:val="nil"/>
              <w:tr2bl w:val="nil"/>
            </w:tcBorders>
            <w:shd w:val="clear" w:color="auto" w:fill="FFFFFF"/>
            <w:vAlign w:val="center"/>
          </w:tcPr>
          <w:p w14:paraId="483FF722">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主要包括慈善基金，医务社工，医善同行，健康帮扶等模块，实现包含图片、文字、视频等展示方式，宣扬医疗事业正能量</w:t>
            </w:r>
          </w:p>
        </w:tc>
      </w:tr>
      <w:tr w14:paraId="394AC332">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3E7D22D4">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1A8E9E8">
            <w:pPr>
              <w:widowControl/>
              <w:shd w:val="clear" w:color="auto" w:fill="FFFFFF"/>
              <w:spacing w:line="420" w:lineRule="atLeast"/>
              <w:jc w:val="center"/>
              <w:rPr>
                <w:rFonts w:hint="eastAsia" w:ascii="宋体" w:hAnsi="宋体" w:eastAsia="宋体" w:cs="宋体"/>
                <w:b/>
                <w:kern w:val="0"/>
                <w:sz w:val="21"/>
                <w:szCs w:val="21"/>
                <w:lang w:eastAsia="zh-CN"/>
              </w:rPr>
            </w:pPr>
            <w:r>
              <w:rPr>
                <w:rFonts w:hint="eastAsia" w:cs="宋体"/>
                <w:b/>
                <w:kern w:val="0"/>
                <w:sz w:val="21"/>
                <w:szCs w:val="21"/>
                <w:lang w:eastAsia="zh-CN"/>
              </w:rPr>
              <w:t>资讯中心</w:t>
            </w:r>
          </w:p>
        </w:tc>
        <w:tc>
          <w:tcPr>
            <w:tcW w:w="6404" w:type="dxa"/>
            <w:tcBorders>
              <w:tl2br w:val="nil"/>
              <w:tr2bl w:val="nil"/>
            </w:tcBorders>
            <w:shd w:val="clear" w:color="auto" w:fill="FFFFFF"/>
            <w:vAlign w:val="center"/>
          </w:tcPr>
          <w:p w14:paraId="7346F388">
            <w:pPr>
              <w:numPr>
                <w:ilvl w:val="0"/>
                <w:numId w:val="5"/>
              </w:numPr>
              <w:autoSpaceDE w:val="0"/>
              <w:autoSpaceDN w:val="0"/>
              <w:adjustRightInd w:val="0"/>
              <w:spacing w:line="36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主要包括医院新闻，通知公告，对外交流，媒体报道</w:t>
            </w:r>
            <w:r>
              <w:rPr>
                <w:rFonts w:hint="eastAsia" w:ascii="宋体" w:hAnsi="宋体" w:eastAsia="宋体" w:cs="宋体"/>
                <w:sz w:val="21"/>
                <w:szCs w:val="21"/>
              </w:rPr>
              <w:t>等模块，</w:t>
            </w:r>
            <w:r>
              <w:rPr>
                <w:rFonts w:hint="eastAsia" w:ascii="宋体" w:hAnsi="宋体" w:eastAsia="宋体" w:cs="宋体"/>
                <w:kern w:val="0"/>
                <w:sz w:val="21"/>
                <w:szCs w:val="21"/>
              </w:rPr>
              <w:t>实现包含图片、文字、视频等展示方式，帮助用户实时了解医院相关新闻以及医院对外的公告信息</w:t>
            </w:r>
          </w:p>
        </w:tc>
      </w:tr>
      <w:tr w14:paraId="0DEB103A">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43BD0AF7">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30B8030">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人才招聘</w:t>
            </w:r>
          </w:p>
        </w:tc>
        <w:tc>
          <w:tcPr>
            <w:tcW w:w="6404" w:type="dxa"/>
            <w:tcBorders>
              <w:tl2br w:val="nil"/>
              <w:tr2bl w:val="nil"/>
            </w:tcBorders>
            <w:shd w:val="clear" w:color="auto" w:fill="FFFFFF"/>
            <w:vAlign w:val="center"/>
          </w:tcPr>
          <w:p w14:paraId="57E6E3FA">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包含医院实时的人才招聘信息</w:t>
            </w:r>
          </w:p>
        </w:tc>
      </w:tr>
      <w:tr w14:paraId="09A07664">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tcBorders>
              <w:tl2br w:val="nil"/>
              <w:tr2bl w:val="nil"/>
            </w:tcBorders>
            <w:shd w:val="clear" w:color="auto" w:fill="FFFFFF"/>
            <w:vAlign w:val="center"/>
          </w:tcPr>
          <w:p w14:paraId="456E7043">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英文版</w:t>
            </w:r>
          </w:p>
        </w:tc>
        <w:tc>
          <w:tcPr>
            <w:tcW w:w="1630" w:type="dxa"/>
            <w:tcBorders>
              <w:tl2br w:val="nil"/>
              <w:tr2bl w:val="nil"/>
            </w:tcBorders>
            <w:shd w:val="clear" w:color="auto" w:fill="FFFFFF"/>
            <w:vAlign w:val="center"/>
          </w:tcPr>
          <w:p w14:paraId="09896D46">
            <w:pPr>
              <w:widowControl/>
              <w:shd w:val="clear" w:color="auto" w:fill="FFFFFF"/>
              <w:spacing w:line="420" w:lineRule="atLeast"/>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主要展示</w:t>
            </w:r>
          </w:p>
        </w:tc>
        <w:tc>
          <w:tcPr>
            <w:tcW w:w="6404" w:type="dxa"/>
            <w:tcBorders>
              <w:tl2br w:val="nil"/>
              <w:tr2bl w:val="nil"/>
            </w:tcBorders>
            <w:shd w:val="clear" w:color="auto" w:fill="FFFFFF"/>
            <w:vAlign w:val="center"/>
          </w:tcPr>
          <w:p w14:paraId="35EA52AD">
            <w:pPr>
              <w:numPr>
                <w:ilvl w:val="0"/>
                <w:numId w:val="5"/>
              </w:numPr>
              <w:autoSpaceDE w:val="0"/>
              <w:autoSpaceDN w:val="0"/>
              <w:adjustRightInd w:val="0"/>
              <w:spacing w:line="360" w:lineRule="auto"/>
              <w:ind w:firstLine="420" w:firstLineChars="200"/>
              <w:rPr>
                <w:rFonts w:hint="eastAsia" w:ascii="宋体" w:hAnsi="宋体" w:eastAsia="宋体" w:cs="宋体"/>
                <w:kern w:val="0"/>
                <w:sz w:val="21"/>
                <w:szCs w:val="21"/>
                <w:lang w:eastAsia="zh-CN"/>
              </w:rPr>
            </w:pPr>
            <w:r>
              <w:rPr>
                <w:rFonts w:hint="eastAsia" w:cs="宋体"/>
                <w:kern w:val="0"/>
                <w:sz w:val="21"/>
                <w:szCs w:val="21"/>
                <w:lang w:eastAsia="zh-CN"/>
              </w:rPr>
              <w:t>按照中文版的形式进行调整，保留重要栏目</w:t>
            </w:r>
          </w:p>
        </w:tc>
      </w:tr>
    </w:tbl>
    <w:p w14:paraId="003C86CE">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val="0"/>
          <w:bCs/>
          <w:sz w:val="21"/>
        </w:rPr>
      </w:pPr>
    </w:p>
    <w:p w14:paraId="7D45C878">
      <w:pPr>
        <w:keepNext w:val="0"/>
        <w:keepLines w:val="0"/>
        <w:pageBreakBefore w:val="0"/>
        <w:widowControl w:val="0"/>
        <w:numPr>
          <w:ilvl w:val="0"/>
          <w:numId w:val="6"/>
        </w:numPr>
        <w:kinsoku/>
        <w:wordWrap/>
        <w:overflowPunct/>
        <w:topLinePunct w:val="0"/>
        <w:autoSpaceDE w:val="0"/>
        <w:autoSpaceDN w:val="0"/>
        <w:bidi w:val="0"/>
        <w:adjustRightInd/>
        <w:snapToGrid/>
        <w:spacing w:line="440" w:lineRule="exact"/>
        <w:ind w:left="397"/>
        <w:jc w:val="both"/>
        <w:textAlignment w:val="auto"/>
        <w:rPr>
          <w:rFonts w:hint="eastAsia"/>
          <w:b/>
          <w:bCs w:val="0"/>
          <w:sz w:val="21"/>
          <w:lang w:val="en-US" w:eastAsia="zh-CN"/>
        </w:rPr>
      </w:pPr>
      <w:r>
        <w:rPr>
          <w:rFonts w:hint="eastAsia"/>
          <w:b/>
          <w:bCs w:val="0"/>
          <w:sz w:val="21"/>
          <w:lang w:val="en-US" w:eastAsia="zh-CN"/>
        </w:rPr>
        <w:t>网站UI设计要求：</w:t>
      </w:r>
    </w:p>
    <w:p w14:paraId="4D8BE03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围绕广州医科大学附属妇女儿童医疗中心门户网站平台的功能定位和相关评测要求，设计思路应体现整合、集成和优化。网站布局应整体简约大方，各功能区界定明显，页面色彩协调统一，突出本地特色建设要求。</w:t>
      </w:r>
    </w:p>
    <w:p w14:paraId="065E626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医院门户网站的网页，特别是主页，起着传达信息、与用户交互和提供导航的重要功能，其设计应遵循以下原则：</w:t>
      </w:r>
    </w:p>
    <w:p w14:paraId="07C035E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内容决定形式的原则</w:t>
      </w:r>
      <w:r>
        <w:rPr>
          <w:rFonts w:hint="eastAsia"/>
          <w:b w:val="0"/>
          <w:bCs/>
          <w:sz w:val="21"/>
          <w:lang w:val="en-US" w:eastAsia="zh-CN"/>
        </w:rPr>
        <w:t>：网页设计必须服务于网站内容的呈现，考虑浏览者获取信息的速度和舒适度。</w:t>
      </w:r>
    </w:p>
    <w:p w14:paraId="6958477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整体协调一致的原则</w:t>
      </w:r>
      <w:r>
        <w:rPr>
          <w:rFonts w:hint="eastAsia"/>
          <w:b w:val="0"/>
          <w:bCs/>
          <w:sz w:val="21"/>
          <w:lang w:val="en-US" w:eastAsia="zh-CN"/>
        </w:rPr>
        <w:t>：网页设计的各个环节，包括色彩、布局、文字、图片等，必须紧紧围绕既定的创意和风格展开。</w:t>
      </w:r>
    </w:p>
    <w:p w14:paraId="76E5BBE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服从技术需要的原则</w:t>
      </w:r>
      <w:r>
        <w:rPr>
          <w:rFonts w:hint="eastAsia"/>
          <w:b w:val="0"/>
          <w:bCs/>
          <w:sz w:val="21"/>
          <w:lang w:val="en-US" w:eastAsia="zh-CN"/>
        </w:rPr>
        <w:t>：网页设计受技术制约明显，如网页宽度受限于显示器分辨率，网页色彩选取应在网络安全色范围内，图片和动画的设计必须严格控制其大小和数量。</w:t>
      </w:r>
    </w:p>
    <w:p w14:paraId="4B217F9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改版的网站页面应掌握以下要点：</w:t>
      </w:r>
    </w:p>
    <w:p w14:paraId="4452503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创意与风格：网页的创意与风格应围绕主题和内容，对网页色彩、布局、动画、图片、文字等元素进行统一个性化设计，形成整体视觉效果和艺术特点。</w:t>
      </w:r>
    </w:p>
    <w:p w14:paraId="2242B5E6">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和谐色彩：以和谐的色彩设计提高信息获取速度和公众对信息理解的准确度。</w:t>
      </w:r>
    </w:p>
    <w:p w14:paraId="7AEBB64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合理配置视觉元素：实现信息传递的清晰化、合理化、人性化，使浏览者在获取信息的同时获得审美感受。</w:t>
      </w:r>
    </w:p>
    <w:p w14:paraId="2FCEDDE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主页和子页面设计：</w:t>
      </w:r>
    </w:p>
    <w:p w14:paraId="3CAEF42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主页：应内容充实，表现形式丰富，使内容和表现形式达到最佳组合。主页具有鲜明的形象标识，清新大气，平衡和谐，体现以人为本、关注民生和服务公众的主旨。</w:t>
      </w:r>
    </w:p>
    <w:p w14:paraId="10D7A0E6">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子页面：设计既要自成一体，各具特色，又要与主页关联呼应。</w:t>
      </w:r>
    </w:p>
    <w:p w14:paraId="7E1EACD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版式效果：</w:t>
      </w:r>
    </w:p>
    <w:p w14:paraId="6AEFF91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在保证浏览速度正常的情况下，可以综合考虑文字、图像、动画、声音和视频等多种页面元素，并借助脚本语言编程实现各种交互效果。文字是信息传达的主体部分，标题要醒目，内容文字的字体、大小、颜色需统一考虑；图形和动画应生动形象地表现设计主题，融于页面整体。要求使用压缩比高的图形格式如jpg和gif，动画使用通用的swf格式。背景和BANNER等大尺寸图形应在保证清晰度的条件下压缩文件大小或图片分割，图像的精度应在大小和显示质量之间找到平衡。</w:t>
      </w:r>
    </w:p>
    <w:p w14:paraId="7F638F7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对于网站的首页、频道页、子栏目页、内容页等重点页面，投标人必须根据客户需求进行页面平面效果图的设计，并得到招标单位书面确认后方可输出。投标人不得直接使用其他项目的源文件以避免版权纠纷，不得未经沟通就设计以避免方向偏差延误工期。</w:t>
      </w:r>
    </w:p>
    <w:p w14:paraId="6D8853D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移动互联网时代的适配：</w:t>
      </w:r>
    </w:p>
    <w:p w14:paraId="4A64649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考虑到手机上网用户已经远远超过电脑用户，网站模板应考虑用户在PC端和移动终端（如手机、平板等）的浏览效果，建设具有特色、友好界面的网站终端模板。</w:t>
      </w:r>
    </w:p>
    <w:p w14:paraId="63B6A2E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PC端网站主要服务于电脑用户，因此对网页尺寸的限制较少，能够展示丰富的视觉效果和动态元素。PC端前台页面设计和模板输出应满足以下要求：</w:t>
      </w:r>
    </w:p>
    <w:p w14:paraId="2B2FFB9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（1）浏览器兼容性</w:t>
      </w:r>
    </w:p>
    <w:p w14:paraId="367398B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前端代码应遵循和使用W3C标准规范，利用各种技术确保页面兼容不同浏览器的解析。</w:t>
      </w:r>
    </w:p>
    <w:p w14:paraId="00B128B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PC端网站在以下浏览器上应保持良好的兼容性和一致的显示效果：</w:t>
      </w:r>
    </w:p>
    <w:p w14:paraId="3156861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主流浏览器：Edge、Firefox、Chrome</w:t>
      </w:r>
    </w:p>
    <w:p w14:paraId="00FDFF0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其他浏览器：兼顾测试Safari等浏览器</w:t>
      </w:r>
    </w:p>
    <w:p w14:paraId="4927381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第三方浏览器：360、搜狗等</w:t>
      </w:r>
    </w:p>
    <w:p w14:paraId="4B22C2B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在这些浏览器上访问并测试网页前台效果，确保网页显示效果一致。这样可以提供一致的用户体验，提升网站的可靠性和兼容性。</w:t>
      </w:r>
    </w:p>
    <w:p w14:paraId="3948D26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（2）模板易用性</w:t>
      </w:r>
    </w:p>
    <w:p w14:paraId="6B8DAD4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模板的操作流程应符合用户的认知特点，操作简单明了，并提供合适的提示信息。按照W3C标准设计样式和页面布局，模板中的代码应清爽、规范，在各种浏览器中保持显示的一致性，统一用户的辨识度。</w:t>
      </w:r>
    </w:p>
    <w:p w14:paraId="3AC03DC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模板应具备良好的分层结构，允许后台随意快速切换，模板和标签可无限重复调用，方便网站后期维护。在模板的日常管理和维护中，大多数操作应通过后台参数调整完成，如添加节点、指定节点模板、设置显示排序方式、选择列表显示方式等，无需代码知识即可轻松完成模板应用。</w:t>
      </w:r>
    </w:p>
    <w:p w14:paraId="6A7321E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（3）模板灵活性</w:t>
      </w:r>
    </w:p>
    <w:p w14:paraId="6BAA0E9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站内容数据、网站模板和网站样式应相互分离，调整模板不会影响内容数据。模板可通过多种途径协同制作和管理，可以在服务器上新建、修改、维护模板文件，也可以在管理后台进行同样操作，确保管理实现同步。</w:t>
      </w:r>
    </w:p>
    <w:p w14:paraId="7F72EAA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模板应显示网站功能的设置和设定，例如网站数据、导航菜单、栏目数据应能自适应后台栏目的增减、排序及是否在前台显示等特性，以满足网站的应用需求。</w:t>
      </w:r>
    </w:p>
    <w:p w14:paraId="4649927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（4）模板美观性</w:t>
      </w:r>
    </w:p>
    <w:p w14:paraId="38A7C02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网页布局需要合理规划，符合美学基本原则，例如平衡性、对称性、对比度、密度和比例等要素。要展现招标单位的价值观和独特信息，使其成为招标单位的在线名片，传递健康、积极的形象。</w:t>
      </w:r>
    </w:p>
    <w:p w14:paraId="554F6F6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页设计应借鉴先进的设计理念，采用前沿的页面特效和互动体验。设计风格应新颖独特，布局合理，在统一中求变化，展现出鲜明的时代特色和流行审美，满足招标单位的实际需求，能够在同行网站中脱颖而出，让访问者留下深刻印象，增强网站的视觉冲击力。</w:t>
      </w:r>
    </w:p>
    <w:p w14:paraId="20B2C24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页面设计需根据客户需求进行原创设计，遵循标准页面设计规范，既体现设计者的专业能力，又展示招标单位的实力、可信度和权威性。</w:t>
      </w:r>
    </w:p>
    <w:p w14:paraId="1413943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色彩搭配应形成色系，视觉效果需符合网站的风格和定位，色调协调，主次分明，在统一中求变化。布局和排版要合理，考虑访问者的感受，符合艺术表现和情感表达。字体选择要适当，尽量减少使用特殊字符。</w:t>
      </w:r>
    </w:p>
    <w:p w14:paraId="0BB78D1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页面设计应符合访问者的层次和审美需求，考虑不同地区和文化背景的受众群体，可包含中文、英文、繁体字、无障碍访问和自动回复等多版本设计。</w:t>
      </w:r>
    </w:p>
    <w:p w14:paraId="6664896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网页设计应以服务为核心，提供规范的服务页面，包括问题反馈与建议等。提供网站帮助信息和便捷指引，包含招标单位的必要联系信息等，提升访问者的用户友好度。</w:t>
      </w:r>
    </w:p>
    <w:p w14:paraId="21032BD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（5）定制个性化</w:t>
      </w:r>
    </w:p>
    <w:p w14:paraId="45E1990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为了满足个性化模板定制的需求，应遵循以下具体实施要求：</w:t>
      </w:r>
    </w:p>
    <w:p w14:paraId="6C7EA31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实施流程：设计、沟通、确认的流程必须严格遵守。针对首页、频道页、子栏目页和内容页等关键页面，应根据实际需求进行平面效果图设计，必须在业主方书面确认后才能输出。设计不能在未经沟通的情况下进行，所有效果图需书面确认后才能制作模板，以避免偏离方向和延误工期。</w:t>
      </w:r>
    </w:p>
    <w:p w14:paraId="0DFA2D0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独立设计与原创性：效果图应根据项目需求进行原创设计，设计师应使用专业设计语言和元素，明确网站的布局和设计风格，确保符合业主方的文化内涵和个性化需求，展示专业设计水平和设计价值。禁止在项目中使用其他项目的源文件或进行简单修改后应用，以避免版权纠纷。</w:t>
      </w:r>
    </w:p>
    <w:p w14:paraId="3CA4FD9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提供合理分层的源文件：实施方需提供分层清晰、逻辑合理的PSD源文件，以确保设计版权的保护，并便于业主方在后期的维护和使用。</w:t>
      </w:r>
    </w:p>
    <w:p w14:paraId="6470EA6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遵守版权规定：页面设计如需使用特殊字体和图片，必须征得业主方同意并购买相关版权，确保不侵犯第三方合法权益，避免引发版权纠纷。</w:t>
      </w:r>
    </w:p>
    <w:p w14:paraId="428D01E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（6）设计规范性</w:t>
      </w:r>
    </w:p>
    <w:p w14:paraId="5B157D3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为了满足个性化需求，页面设计需遵循以下美学原理和审美标准：</w:t>
      </w:r>
    </w:p>
    <w:p w14:paraId="7AB0FC9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统一规范：</w:t>
      </w:r>
      <w:r>
        <w:rPr>
          <w:rFonts w:hint="eastAsia"/>
          <w:b w:val="0"/>
          <w:bCs/>
          <w:sz w:val="21"/>
          <w:lang w:val="en-US" w:eastAsia="zh-CN"/>
        </w:rPr>
        <w:t>整个网站应保持统一的页面宽度和一致的导航高度。招标单位的信息如LOGO、版权等应符合应用规范，确保网站整体一致性。</w:t>
      </w:r>
    </w:p>
    <w:p w14:paraId="799D1EB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合理布局：</w:t>
      </w:r>
      <w:r>
        <w:rPr>
          <w:rFonts w:hint="eastAsia"/>
          <w:b w:val="0"/>
          <w:bCs/>
          <w:sz w:val="21"/>
          <w:lang w:val="en-US" w:eastAsia="zh-CN"/>
        </w:rPr>
        <w:t>各区块的布局应合理，内外间距统一，全站的缩略图比例一致，方便用户和管理人员上传及修改图片。</w:t>
      </w:r>
    </w:p>
    <w:p w14:paraId="6DD8E25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细节规范：</w:t>
      </w:r>
      <w:r>
        <w:rPr>
          <w:rFonts w:hint="eastAsia"/>
          <w:b w:val="0"/>
          <w:bCs/>
          <w:sz w:val="21"/>
          <w:lang w:val="en-US" w:eastAsia="zh-CN"/>
        </w:rPr>
        <w:t>注重字体规范、文字大小、图片比例和图标设计等细节。使用统一的字号大小，规范鼠标事件样式，确保一致性。</w:t>
      </w:r>
    </w:p>
    <w:p w14:paraId="1CF6DFB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色彩统一：</w:t>
      </w:r>
      <w:r>
        <w:rPr>
          <w:rFonts w:hint="eastAsia"/>
          <w:b w:val="0"/>
          <w:bCs/>
          <w:sz w:val="21"/>
          <w:lang w:val="en-US" w:eastAsia="zh-CN"/>
        </w:rPr>
        <w:t>制定主要色系，并严格遵循拟定色彩的色值，使页面风格统一。</w:t>
      </w:r>
    </w:p>
    <w:p w14:paraId="4BDE8F5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源文件规范：</w:t>
      </w:r>
      <w:r>
        <w:rPr>
          <w:rFonts w:hint="eastAsia"/>
          <w:b w:val="0"/>
          <w:bCs/>
          <w:sz w:val="21"/>
          <w:lang w:val="en-US" w:eastAsia="zh-CN"/>
        </w:rPr>
        <w:t>设计的效果图PSD源文件应分层合理、命名规范、无冗余，图层选择快捷，便于快速隐藏和移动相关内容，方便前端快速分层输出。</w:t>
      </w:r>
    </w:p>
    <w:p w14:paraId="11396E4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栅格化设计：</w:t>
      </w:r>
      <w:r>
        <w:rPr>
          <w:rFonts w:hint="eastAsia"/>
          <w:b w:val="0"/>
          <w:bCs/>
          <w:sz w:val="21"/>
          <w:lang w:val="en-US" w:eastAsia="zh-CN"/>
        </w:rPr>
        <w:t>采用栅格化设计规范，通过规则的网格阵列指导和规范网页中的版面布局及信息分布。</w:t>
      </w:r>
    </w:p>
    <w:p w14:paraId="03DE13B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交互设计</w:t>
      </w:r>
      <w:r>
        <w:rPr>
          <w:rFonts w:hint="eastAsia"/>
          <w:b w:val="0"/>
          <w:bCs/>
          <w:sz w:val="21"/>
          <w:lang w:val="en-US" w:eastAsia="zh-CN"/>
        </w:rPr>
        <w:t>：注重交互式页面设计与用户互动功能，提高用户体验，提升网站形象。</w:t>
      </w:r>
    </w:p>
    <w:p w14:paraId="0DB9B85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跨终端体验：</w:t>
      </w:r>
      <w:r>
        <w:rPr>
          <w:rFonts w:hint="eastAsia"/>
          <w:b w:val="0"/>
          <w:bCs/>
          <w:sz w:val="21"/>
          <w:lang w:val="en-US" w:eastAsia="zh-CN"/>
        </w:rPr>
        <w:t>页面设计应考虑访问对象在电脑、平板、手机等不同终端的需求和显示效果，确保良好的用户体验。</w:t>
      </w:r>
    </w:p>
    <w:p w14:paraId="1F5D7FE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特殊效果设计：</w:t>
      </w:r>
      <w:r>
        <w:rPr>
          <w:rFonts w:hint="eastAsia"/>
          <w:b w:val="0"/>
          <w:bCs/>
          <w:sz w:val="21"/>
          <w:lang w:val="en-US" w:eastAsia="zh-CN"/>
        </w:rPr>
        <w:t>合理设计弹出效果、悬浮效果、滑动门效果等特殊功能，并提供相应的效果展示。</w:t>
      </w:r>
    </w:p>
    <w:p w14:paraId="3CA2950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（7）布局合理性</w:t>
      </w:r>
    </w:p>
    <w:p w14:paraId="13CA7AA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为了满足招标需求，页面设计需进行合理规划，确保明确的目的、用途、定位、设计要素和功能点。具体要求如下：</w:t>
      </w:r>
    </w:p>
    <w:p w14:paraId="7C6616A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明确规划：</w:t>
      </w:r>
      <w:r>
        <w:rPr>
          <w:rFonts w:hint="eastAsia"/>
          <w:b w:val="0"/>
          <w:bCs/>
          <w:sz w:val="21"/>
          <w:lang w:val="en-US" w:eastAsia="zh-CN"/>
        </w:rPr>
        <w:t>根据招标需求，合理规划页面，明确目的、用途、定位、设计要素和功能点。确定页面中的各个版块、顺序、尺寸及表现形式，并明确主次关系。</w:t>
      </w:r>
    </w:p>
    <w:p w14:paraId="6956F83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重点突出</w:t>
      </w:r>
      <w:r>
        <w:rPr>
          <w:rFonts w:hint="eastAsia"/>
          <w:b w:val="0"/>
          <w:bCs/>
          <w:sz w:val="21"/>
          <w:lang w:val="en-US" w:eastAsia="zh-CN"/>
        </w:rPr>
        <w:t>：突出版块中的重点内容，使访问者一目了然，达到宣传效果。重要位置和重点版块可合理使用特殊表现形式和效果，但需避免影响页面的加载速度。</w:t>
      </w:r>
    </w:p>
    <w:p w14:paraId="1663360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符合浏览习惯</w:t>
      </w:r>
      <w:r>
        <w:rPr>
          <w:rFonts w:hint="eastAsia"/>
          <w:b w:val="0"/>
          <w:bCs/>
          <w:sz w:val="21"/>
          <w:lang w:val="en-US" w:eastAsia="zh-CN"/>
        </w:rPr>
        <w:t>：布局应符合用户从上至下、从左至右的浏览习惯，清晰区分信息内容和操作区域。</w:t>
      </w:r>
    </w:p>
    <w:p w14:paraId="352B5C5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审美和引导</w:t>
      </w:r>
      <w:r>
        <w:rPr>
          <w:rFonts w:hint="eastAsia"/>
          <w:b w:val="0"/>
          <w:bCs/>
          <w:sz w:val="21"/>
          <w:lang w:val="en-US" w:eastAsia="zh-CN"/>
        </w:rPr>
        <w:t>性：布局应符合大众的审美习惯，并具有引导性。页面布局要重点突出，主次分明，图文并茂。</w:t>
      </w:r>
    </w:p>
    <w:p w14:paraId="4C9969E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导航和图标</w:t>
      </w:r>
      <w:r>
        <w:rPr>
          <w:rFonts w:hint="eastAsia"/>
          <w:b w:val="0"/>
          <w:bCs/>
          <w:sz w:val="21"/>
          <w:lang w:val="en-US" w:eastAsia="zh-CN"/>
        </w:rPr>
        <w:t>：页面导航应清晰明了、层级分明。图标应简洁、明了、易懂、准确，与整体风格统一。</w:t>
      </w:r>
    </w:p>
    <w:p w14:paraId="10F87C9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图片处理</w:t>
      </w:r>
      <w:r>
        <w:rPr>
          <w:rFonts w:hint="eastAsia"/>
          <w:b w:val="0"/>
          <w:bCs/>
          <w:sz w:val="21"/>
          <w:lang w:val="en-US" w:eastAsia="zh-CN"/>
        </w:rPr>
        <w:t>：图片应清晰，比例协调，不变形，排列疏密得当，符合页面整体美观要求。</w:t>
      </w:r>
    </w:p>
    <w:p w14:paraId="59A67BA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（8）界面设计创意性</w:t>
      </w:r>
    </w:p>
    <w:p w14:paraId="7C0B321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为了传达招标单位的独特文化内涵，页面设计应具备富有创造性的思想和理念，并采用新颖创新的设计。具体要求如下：</w:t>
      </w:r>
    </w:p>
    <w:p w14:paraId="5376425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传达文化内涵</w:t>
      </w:r>
      <w:r>
        <w:rPr>
          <w:rFonts w:hint="eastAsia"/>
          <w:b w:val="0"/>
          <w:bCs/>
          <w:sz w:val="21"/>
          <w:lang w:val="en-US" w:eastAsia="zh-CN"/>
        </w:rPr>
        <w:t>：通过富于创造性的思想和理念，传达招标单位特有的文化内涵。设计风格要独特且美观，使网站的布局、色彩、技术和交互方式等方面展现出网站的个性，吸引浏览者的注意力。</w:t>
      </w:r>
    </w:p>
    <w:p w14:paraId="1EEA20B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独特设计风格</w:t>
      </w:r>
      <w:r>
        <w:rPr>
          <w:rFonts w:hint="eastAsia"/>
          <w:b w:val="0"/>
          <w:bCs/>
          <w:sz w:val="21"/>
          <w:lang w:val="en-US" w:eastAsia="zh-CN"/>
        </w:rPr>
        <w:t>：设计应具备独特的风格，使网站不仅美观，还能在布局、色彩和交互方式上展现出独特的个性，能够有效吸引并保持浏览者的注意。</w:t>
      </w:r>
    </w:p>
    <w:p w14:paraId="705A4AC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使用新技术</w:t>
      </w:r>
      <w:r>
        <w:rPr>
          <w:rFonts w:hint="eastAsia"/>
          <w:b w:val="0"/>
          <w:bCs/>
          <w:sz w:val="21"/>
          <w:lang w:val="en-US" w:eastAsia="zh-CN"/>
        </w:rPr>
        <w:t>：运用新技术进行页面设计和创意表达，确保网站能够准确传达其本意。通过创新的技术手段，使设计思想和理念得以充分呈现和诠释，并能被浏览者轻松感知和理解。</w:t>
      </w:r>
    </w:p>
    <w:p w14:paraId="4F622D5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创意表达</w:t>
      </w:r>
      <w:r>
        <w:rPr>
          <w:rFonts w:hint="eastAsia"/>
          <w:b w:val="0"/>
          <w:bCs/>
          <w:sz w:val="21"/>
          <w:lang w:val="en-US" w:eastAsia="zh-CN"/>
        </w:rPr>
        <w:t>：页面设计要通过创意表达，使网站内容和设计理念清晰地传递给浏览者，确保浏览者能够轻松理解和感受网站传达的信息。</w:t>
      </w:r>
    </w:p>
    <w:p w14:paraId="22E02A7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（9）界面设计时代性</w:t>
      </w:r>
    </w:p>
    <w:p w14:paraId="6A9D1D1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为了确保网页界面设计符合时代流行特征和审美标准，并具有时代感，设计应满足以下要求：</w:t>
      </w:r>
    </w:p>
    <w:p w14:paraId="596218B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时代感与流行特征：网页界面设计应符合当前时代的流行特征和审美标准，确保设计具有现代感和时代感，吸引用户的视觉注意力。</w:t>
      </w:r>
    </w:p>
    <w:p w14:paraId="07EF6FA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医疗行业特征与客户审美：界面设计应符合医疗行业特征和社会大众的审美价值标准，同时满足用户的应用需求。在医疗同行业中，设计应具有引领和借鉴意义，展示出行业领先的设计水平。</w:t>
      </w:r>
    </w:p>
    <w:p w14:paraId="39AB1A9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元素与技术应用：所使用的设计元素和技术应符合时代性，运用新技术以满足个性化设计需求，确保网页设计不仅美观大方，还能提供良好的用户体验。</w:t>
      </w:r>
    </w:p>
    <w:p w14:paraId="4C89A3B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（10）界面设计易用性</w:t>
      </w:r>
    </w:p>
    <w:p w14:paraId="55EE4F2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为了提高用户的操作效率和准确度，界面设计应遵循以下原则：</w:t>
      </w:r>
    </w:p>
    <w:p w14:paraId="2A5A380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直观展示操作结果：通过直观的方式展示用户所期望的操作结果，或帮助用户探索可能发生的结果，以提高用户的操作效率和准确度。</w:t>
      </w:r>
    </w:p>
    <w:p w14:paraId="390B330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合理分类和组织功能</w:t>
      </w:r>
      <w:r>
        <w:rPr>
          <w:rFonts w:hint="eastAsia"/>
          <w:b w:val="0"/>
          <w:bCs/>
          <w:sz w:val="21"/>
          <w:lang w:val="en-US" w:eastAsia="zh-CN"/>
        </w:rPr>
        <w:t>：对功能进行恰当的分类和组织，将类似或相关的选项归类在一起，以节省用户的认知时间。</w:t>
      </w:r>
    </w:p>
    <w:p w14:paraId="5D5F071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提供导航工具</w:t>
      </w:r>
      <w:r>
        <w:rPr>
          <w:rFonts w:hint="eastAsia"/>
          <w:b w:val="0"/>
          <w:bCs/>
          <w:sz w:val="21"/>
          <w:lang w:val="en-US" w:eastAsia="zh-CN"/>
        </w:rPr>
        <w:t>：在目录层级较多时，提供面包屑导航栏和返回操作导航，方便用户在网站各个栏目间跳转。</w:t>
      </w:r>
    </w:p>
    <w:p w14:paraId="3B3386F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符合用户使用习惯</w:t>
      </w:r>
      <w:r>
        <w:rPr>
          <w:rFonts w:hint="eastAsia"/>
          <w:b w:val="0"/>
          <w:bCs/>
          <w:sz w:val="21"/>
          <w:lang w:val="en-US" w:eastAsia="zh-CN"/>
        </w:rPr>
        <w:t>：界面设计应符合用户的使用习惯，引导用户养成良好的操作习惯。</w:t>
      </w:r>
    </w:p>
    <w:p w14:paraId="5FD0F7F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减少用户焦虑感</w:t>
      </w:r>
      <w:r>
        <w:rPr>
          <w:rFonts w:hint="eastAsia"/>
          <w:b w:val="0"/>
          <w:bCs/>
          <w:sz w:val="21"/>
          <w:lang w:val="en-US" w:eastAsia="zh-CN"/>
        </w:rPr>
        <w:t>：对于执行较长时间的操作，增加进度条、倒计时、小圈动态图等效果，以转移用户的注意力，减少用户的焦虑感。</w:t>
      </w:r>
    </w:p>
    <w:p w14:paraId="00A2E6D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简洁明了的操作流程</w:t>
      </w:r>
      <w:r>
        <w:rPr>
          <w:rFonts w:hint="eastAsia"/>
          <w:b w:val="0"/>
          <w:bCs/>
          <w:sz w:val="21"/>
          <w:lang w:val="en-US" w:eastAsia="zh-CN"/>
        </w:rPr>
        <w:t>：对于有操作流程的内容，步骤之间应层次分明，言简意赅，使用户一目了然。</w:t>
      </w:r>
    </w:p>
    <w:p w14:paraId="767969B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输入提示</w:t>
      </w:r>
      <w:r>
        <w:rPr>
          <w:rFonts w:hint="eastAsia"/>
          <w:b w:val="0"/>
          <w:bCs/>
          <w:sz w:val="21"/>
          <w:lang w:val="en-US" w:eastAsia="zh-CN"/>
        </w:rPr>
        <w:t>：在输入框中显示提示性语句，以防止用户输入不被接受的词句和格式错误。确保超链接文字与普通文本易于区分，降低用户犯错的机会。</w:t>
      </w:r>
    </w:p>
    <w:p w14:paraId="6959005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（11）UI体系识别一致性</w:t>
      </w:r>
    </w:p>
    <w:p w14:paraId="20AD41D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为了确保网站设计的一致性和视觉统一，页面设计应遵循以下原则：</w:t>
      </w:r>
    </w:p>
    <w:p w14:paraId="43CA7CE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色彩一致性</w:t>
      </w:r>
      <w:r>
        <w:rPr>
          <w:rFonts w:hint="eastAsia"/>
          <w:b w:val="0"/>
          <w:bCs/>
          <w:sz w:val="21"/>
          <w:lang w:val="en-US" w:eastAsia="zh-CN"/>
        </w:rPr>
        <w:t>：网站的主色和辅助色应保持一致，遵循医疗行业和单位的CI视觉体系，确保整体视觉效果协调统一。</w:t>
      </w:r>
    </w:p>
    <w:p w14:paraId="0D4C6DF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页面结构</w:t>
      </w:r>
      <w:r>
        <w:rPr>
          <w:rFonts w:hint="eastAsia"/>
          <w:b w:val="0"/>
          <w:bCs/>
          <w:sz w:val="21"/>
          <w:lang w:val="en-US" w:eastAsia="zh-CN"/>
        </w:rPr>
        <w:t>：侧栏宽度应保持一致，页面应能清晰识别出两栏、三栏或通栏设计，上下区块应保持像素级对齐，确保页面结构的整齐和一致性。</w:t>
      </w:r>
    </w:p>
    <w:p w14:paraId="4288E8B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统一导航</w:t>
      </w:r>
      <w:r>
        <w:rPr>
          <w:rFonts w:hint="eastAsia"/>
          <w:b w:val="0"/>
          <w:bCs/>
          <w:sz w:val="21"/>
          <w:lang w:val="en-US" w:eastAsia="zh-CN"/>
        </w:rPr>
        <w:t>：导航应在全站统一，避免出现风格不统一或死链接的现象，确保用户在浏览时的连贯性和便利性。</w:t>
      </w:r>
    </w:p>
    <w:p w14:paraId="2B1E1E4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图片尺寸统一</w:t>
      </w:r>
      <w:r>
        <w:rPr>
          <w:rFonts w:hint="eastAsia"/>
          <w:b w:val="0"/>
          <w:bCs/>
          <w:sz w:val="21"/>
          <w:lang w:val="en-US" w:eastAsia="zh-CN"/>
        </w:rPr>
        <w:t>：网站所有图片或每个模型页面中的图片应保持统一尺寸，确保视觉效果的一致性。</w:t>
      </w:r>
    </w:p>
    <w:p w14:paraId="128C41F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图标和按钮风格</w:t>
      </w:r>
      <w:r>
        <w:rPr>
          <w:rFonts w:hint="eastAsia"/>
          <w:b w:val="0"/>
          <w:bCs/>
          <w:sz w:val="21"/>
          <w:lang w:val="en-US" w:eastAsia="zh-CN"/>
        </w:rPr>
        <w:t>：所有图标或按钮的风格应保持一致，无论是拟物还是扁平设计。网站首页和频道页应采用相同的图标风格，边角和图标之间应统一采用圆润设计或直角设计。</w:t>
      </w:r>
    </w:p>
    <w:p w14:paraId="1F0CF27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一致的菜单和状态栏</w:t>
      </w:r>
      <w:r>
        <w:rPr>
          <w:rFonts w:hint="eastAsia"/>
          <w:b w:val="0"/>
          <w:bCs/>
          <w:sz w:val="21"/>
          <w:lang w:val="en-US" w:eastAsia="zh-CN"/>
        </w:rPr>
        <w:t>：菜单、地址栏、图标、状态栏等的风格和位置应保持一致，确保用户在使用网站时的体验一致性。</w:t>
      </w:r>
    </w:p>
    <w:p w14:paraId="66DC264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（12）感官体验舒适性</w:t>
      </w:r>
    </w:p>
    <w:p w14:paraId="194B7B3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为了确保网站设计符合社会大众群体的审美习惯，并具有一定的引导性，页面设计应遵循以下原则：</w:t>
      </w:r>
    </w:p>
    <w:p w14:paraId="4C0A7C5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审美：设计风格应符合社会大众，尤其是妇女儿童的审美习惯，并具备引导性，吸引并保持客户的关注。</w:t>
      </w:r>
    </w:p>
    <w:p w14:paraId="624B3B8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页面加载速度</w:t>
      </w:r>
      <w:r>
        <w:rPr>
          <w:rFonts w:hint="eastAsia"/>
          <w:b w:val="0"/>
          <w:bCs/>
          <w:sz w:val="21"/>
          <w:lang w:val="en-US" w:eastAsia="zh-CN"/>
        </w:rPr>
        <w:t>：确保页面在正常情况下能在5秒内打开。对于大型门户网站，应兼顾南北互通问题，并进行必要的压力测试。</w:t>
      </w:r>
    </w:p>
    <w:p w14:paraId="0707BDB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布局与信息优先级</w:t>
      </w:r>
      <w:r>
        <w:rPr>
          <w:rFonts w:hint="eastAsia"/>
          <w:b w:val="0"/>
          <w:bCs/>
          <w:sz w:val="21"/>
          <w:lang w:val="en-US" w:eastAsia="zh-CN"/>
        </w:rPr>
        <w:t>：页面布局应重点突出、主次分明、图文并茂，将用户最感兴趣的信息放在最重要的位置，提升用户体验。</w:t>
      </w:r>
    </w:p>
    <w:p w14:paraId="132C4B7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色彩统一</w:t>
      </w:r>
      <w:r>
        <w:rPr>
          <w:rFonts w:hint="eastAsia"/>
          <w:b w:val="0"/>
          <w:bCs/>
          <w:sz w:val="21"/>
          <w:lang w:val="en-US" w:eastAsia="zh-CN"/>
        </w:rPr>
        <w:t>：页面色彩应与医院整体形象相统一，主色调加辅助色不超过三种颜色，确保色彩明度和亮度适中，提升浏览舒适度。</w:t>
      </w:r>
    </w:p>
    <w:p w14:paraId="698EBF1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动画效果</w:t>
      </w:r>
      <w:r>
        <w:rPr>
          <w:rFonts w:hint="eastAsia"/>
          <w:b w:val="0"/>
          <w:bCs/>
          <w:sz w:val="21"/>
          <w:lang w:val="en-US" w:eastAsia="zh-CN"/>
        </w:rPr>
        <w:t>：动画效果应与主画面相协调，打开速度快，节奏适中，不干扰主画面浏览。</w:t>
      </w:r>
    </w:p>
    <w:p w14:paraId="7A2E0DB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导航清晰</w:t>
      </w:r>
      <w:r>
        <w:rPr>
          <w:rFonts w:hint="eastAsia"/>
          <w:b w:val="0"/>
          <w:bCs/>
          <w:sz w:val="21"/>
          <w:lang w:val="en-US" w:eastAsia="zh-CN"/>
        </w:rPr>
        <w:t>：页面导航条应清晰明了、突出，层级分明，便于用户快速找到所需信息。</w:t>
      </w:r>
    </w:p>
    <w:p w14:paraId="2FB0E85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适配浏览器</w:t>
      </w:r>
      <w:r>
        <w:rPr>
          <w:rFonts w:hint="eastAsia"/>
          <w:b w:val="0"/>
          <w:bCs/>
          <w:sz w:val="21"/>
          <w:lang w:val="en-US" w:eastAsia="zh-CN"/>
        </w:rPr>
        <w:t>：页面尺寸应适合多数浏览器浏览，确保用户在不同浏览器上的体验一致。</w:t>
      </w:r>
    </w:p>
    <w:p w14:paraId="179BB06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图片展示</w:t>
      </w:r>
      <w:r>
        <w:rPr>
          <w:rFonts w:hint="eastAsia"/>
          <w:b w:val="0"/>
          <w:bCs/>
          <w:sz w:val="21"/>
          <w:lang w:val="en-US" w:eastAsia="zh-CN"/>
        </w:rPr>
        <w:t>：图片展示应比例协调、不变形，图片清晰，排列不过于密集或疏远，确保视觉效果良好。</w:t>
      </w:r>
    </w:p>
    <w:p w14:paraId="12439E5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图标</w:t>
      </w:r>
      <w:r>
        <w:rPr>
          <w:rFonts w:hint="eastAsia"/>
          <w:b w:val="0"/>
          <w:bCs/>
          <w:sz w:val="21"/>
          <w:lang w:val="en-US" w:eastAsia="zh-CN"/>
        </w:rPr>
        <w:t>：图标应简洁、明了、易懂、准确，与页面整体风格统一。</w:t>
      </w:r>
    </w:p>
    <w:p w14:paraId="15CF61F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（13）用户体验优越性</w:t>
      </w:r>
    </w:p>
    <w:p w14:paraId="17295D6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为了提高网站页面打开速度和优化用户体验，页面设计应采用以下技术手段和设计原则：</w:t>
      </w:r>
    </w:p>
    <w:p w14:paraId="279BC62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632" w:firstLineChars="300"/>
        <w:jc w:val="both"/>
        <w:textAlignment w:val="auto"/>
        <w:rPr>
          <w:rFonts w:hint="eastAsia"/>
          <w:b/>
          <w:bCs w:val="0"/>
          <w:sz w:val="21"/>
          <w:lang w:val="en-US" w:eastAsia="zh-CN"/>
        </w:rPr>
      </w:pPr>
      <w:r>
        <w:rPr>
          <w:rFonts w:hint="eastAsia"/>
          <w:b/>
          <w:bCs w:val="0"/>
          <w:sz w:val="21"/>
          <w:lang w:val="en-US" w:eastAsia="zh-CN"/>
        </w:rPr>
        <w:t>技术优化：</w:t>
      </w:r>
    </w:p>
    <w:p w14:paraId="62C9982F">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减少HTTP请求次数和DNS查询次数。</w:t>
      </w:r>
    </w:p>
    <w:p w14:paraId="793DCC60">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缓存Ajax请求。</w:t>
      </w:r>
    </w:p>
    <w:p w14:paraId="0E5B0A23">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使用延迟加载或提前加载技术。</w:t>
      </w:r>
    </w:p>
    <w:p w14:paraId="7384E3D9">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减少DOM元素数量。</w:t>
      </w:r>
    </w:p>
    <w:p w14:paraId="46EA013C">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精简JavaScript和CSS代码。</w:t>
      </w:r>
    </w:p>
    <w:p w14:paraId="55577E78">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去除重复的脚本。</w:t>
      </w:r>
    </w:p>
    <w:p w14:paraId="2D550AE4">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使用智能事件处理。</w:t>
      </w:r>
    </w:p>
    <w:p w14:paraId="64838069">
      <w:pPr>
        <w:keepNext w:val="0"/>
        <w:keepLines w:val="0"/>
        <w:pageBreakBefore w:val="0"/>
        <w:widowControl w:val="0"/>
        <w:numPr>
          <w:ilvl w:val="0"/>
          <w:numId w:val="7"/>
        </w:numPr>
        <w:kinsoku/>
        <w:wordWrap/>
        <w:overflowPunct/>
        <w:topLinePunct w:val="0"/>
        <w:autoSpaceDE w:val="0"/>
        <w:autoSpaceDN w:val="0"/>
        <w:bidi w:val="0"/>
        <w:adjustRightInd/>
        <w:snapToGrid/>
        <w:spacing w:line="440" w:lineRule="exact"/>
        <w:ind w:left="420" w:leftChars="0" w:hanging="420" w:firstLineChars="0"/>
        <w:jc w:val="both"/>
        <w:textAlignment w:val="auto"/>
        <w:rPr>
          <w:rFonts w:hint="eastAsia"/>
          <w:b w:val="0"/>
          <w:bCs/>
          <w:sz w:val="21"/>
          <w:lang w:val="en-US" w:eastAsia="zh-CN"/>
        </w:rPr>
      </w:pPr>
      <w:r>
        <w:rPr>
          <w:rFonts w:hint="eastAsia"/>
          <w:b w:val="0"/>
          <w:bCs/>
          <w:sz w:val="21"/>
          <w:lang w:val="en-US" w:eastAsia="zh-CN"/>
        </w:rPr>
        <w:t>优化图像，采用CSS Sprite技术。</w:t>
      </w:r>
    </w:p>
    <w:p w14:paraId="74AFA7F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632" w:firstLineChars="300"/>
        <w:jc w:val="both"/>
        <w:textAlignment w:val="auto"/>
        <w:rPr>
          <w:rFonts w:hint="eastAsia"/>
          <w:b/>
          <w:bCs w:val="0"/>
          <w:sz w:val="21"/>
          <w:lang w:val="en-US" w:eastAsia="zh-CN"/>
        </w:rPr>
      </w:pPr>
      <w:r>
        <w:rPr>
          <w:rFonts w:hint="eastAsia"/>
          <w:b/>
          <w:bCs w:val="0"/>
          <w:sz w:val="21"/>
          <w:lang w:val="en-US" w:eastAsia="zh-CN"/>
        </w:rPr>
        <w:t>符合定位和用户喜好：</w:t>
      </w:r>
    </w:p>
    <w:p w14:paraId="27A4691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网站设计应符合网站的定位，风格设计符合目标用户的喜好，能够吸引用户。</w:t>
      </w:r>
    </w:p>
    <w:p w14:paraId="401184B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632" w:firstLineChars="300"/>
        <w:jc w:val="both"/>
        <w:textAlignment w:val="auto"/>
        <w:rPr>
          <w:rFonts w:hint="eastAsia"/>
          <w:b/>
          <w:bCs w:val="0"/>
          <w:sz w:val="21"/>
          <w:lang w:val="en-US" w:eastAsia="zh-CN"/>
        </w:rPr>
      </w:pPr>
      <w:r>
        <w:rPr>
          <w:rFonts w:hint="eastAsia"/>
          <w:b/>
          <w:bCs w:val="0"/>
          <w:sz w:val="21"/>
          <w:lang w:val="en-US" w:eastAsia="zh-CN"/>
        </w:rPr>
        <w:t>内容引导：</w:t>
      </w:r>
    </w:p>
    <w:p w14:paraId="679E346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从首页、栏目页到终极页面，设计应能够引导用户找到所需内容，提升用户的导航体验。</w:t>
      </w:r>
    </w:p>
    <w:p w14:paraId="18C732B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632" w:firstLineChars="300"/>
        <w:jc w:val="both"/>
        <w:textAlignment w:val="auto"/>
        <w:rPr>
          <w:rFonts w:hint="eastAsia"/>
          <w:b/>
          <w:bCs w:val="0"/>
          <w:sz w:val="21"/>
          <w:lang w:val="en-US" w:eastAsia="zh-CN"/>
        </w:rPr>
      </w:pPr>
      <w:r>
        <w:rPr>
          <w:rFonts w:hint="eastAsia"/>
          <w:b/>
          <w:bCs w:val="0"/>
          <w:sz w:val="21"/>
          <w:lang w:val="en-US" w:eastAsia="zh-CN"/>
        </w:rPr>
        <w:t>合理导航和搜索功能：</w:t>
      </w:r>
    </w:p>
    <w:p w14:paraId="2F56F59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导航分类应合理，方便用户查找信息。</w:t>
      </w:r>
    </w:p>
    <w:p w14:paraId="7336510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网站应具备栏目搜索和全文检索系统，便于用户快速查找各类信息和文档。</w:t>
      </w:r>
    </w:p>
    <w:p w14:paraId="66C3AFD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内容编辑器应直观、易用，方便内容的添加和管理。</w:t>
      </w:r>
    </w:p>
    <w:p w14:paraId="776209C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632" w:firstLineChars="300"/>
        <w:jc w:val="both"/>
        <w:textAlignment w:val="auto"/>
        <w:rPr>
          <w:rFonts w:hint="eastAsia"/>
          <w:b/>
          <w:bCs w:val="0"/>
          <w:sz w:val="21"/>
          <w:lang w:val="en-US" w:eastAsia="zh-CN"/>
        </w:rPr>
      </w:pPr>
      <w:r>
        <w:rPr>
          <w:rFonts w:hint="eastAsia"/>
          <w:b/>
          <w:bCs w:val="0"/>
          <w:sz w:val="21"/>
          <w:lang w:val="en-US" w:eastAsia="zh-CN"/>
        </w:rPr>
        <w:t>跨设备优化：</w:t>
      </w:r>
    </w:p>
    <w:p w14:paraId="7AF52C5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网站应适配不同设备（PC/手机/PAD），提供符合设备显示特点和用户操作习惯的界面。</w:t>
      </w:r>
    </w:p>
    <w:p w14:paraId="5C6B68C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确保用户在不同设备上都能获得最佳的用户体验。</w:t>
      </w:r>
    </w:p>
    <w:p w14:paraId="163A4DA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（14）网页性能高效性</w:t>
      </w:r>
    </w:p>
    <w:p w14:paraId="3C3C916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对为了确保制作的模板具备良好的性能和用户体验，需遵循以下具体要求：</w:t>
      </w:r>
    </w:p>
    <w:p w14:paraId="3C55258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页面加载时间：</w:t>
      </w:r>
      <w:r>
        <w:rPr>
          <w:rFonts w:hint="eastAsia"/>
          <w:b w:val="0"/>
          <w:bCs/>
          <w:sz w:val="21"/>
          <w:lang w:val="en-US" w:eastAsia="zh-CN"/>
        </w:rPr>
        <w:t>本地使用Chrome测试模板页面打开时间，一屏页面应控制在3000毫秒以内，两屏及以上页面应控制在5000毫秒以内。</w:t>
      </w:r>
    </w:p>
    <w:p w14:paraId="36C7F9B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简洁代码和优化</w:t>
      </w:r>
      <w:r>
        <w:rPr>
          <w:rFonts w:hint="eastAsia"/>
          <w:b w:val="0"/>
          <w:bCs/>
          <w:sz w:val="21"/>
          <w:lang w:val="en-US" w:eastAsia="zh-CN"/>
        </w:rPr>
        <w:t>：HTML代码应简洁，符合浏览器解析规范，无过多冗余代码。图片应经过优化处理，除特殊需求外，页面中的图片文件大小应控制在500K以内。</w:t>
      </w:r>
    </w:p>
    <w:p w14:paraId="2B2B4CF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跨终端兼容性：</w:t>
      </w:r>
      <w:r>
        <w:rPr>
          <w:rFonts w:hint="eastAsia"/>
          <w:b w:val="0"/>
          <w:bCs/>
          <w:sz w:val="21"/>
          <w:lang w:val="en-US" w:eastAsia="zh-CN"/>
        </w:rPr>
        <w:t>用户使用多种终端（PC/手机/PAD）浏览网站效果应符合终端特征，确保视频播放无压力。页面中的标签必须经过优化设计以提升页面性能。</w:t>
      </w:r>
    </w:p>
    <w:p w14:paraId="29B295E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高效渲染</w:t>
      </w:r>
      <w:r>
        <w:rPr>
          <w:rFonts w:hint="eastAsia"/>
          <w:b w:val="0"/>
          <w:bCs/>
          <w:sz w:val="21"/>
          <w:lang w:val="en-US" w:eastAsia="zh-CN"/>
        </w:rPr>
        <w:t>：使用成熟优化的Web页面渲染技术以提高页面渲染和执行效率。采用XHTML + CSS + JS减少HTTP请求尺寸，改善页面性能。使用符合W3C标准的代码，降低浏览器容错分析的负担，提高页面执行效率。</w:t>
      </w:r>
    </w:p>
    <w:p w14:paraId="447601CE">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（15）代码规范性</w:t>
      </w:r>
    </w:p>
    <w:p w14:paraId="4BCAF80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使为了确保网站设计与实现的规范性、兼容性和易维护性，应遵循以下具体要求：</w:t>
      </w:r>
    </w:p>
    <w:p w14:paraId="31A09D0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技术兼容性：</w:t>
      </w:r>
      <w:r>
        <w:rPr>
          <w:rFonts w:hint="eastAsia"/>
          <w:b w:val="0"/>
          <w:bCs/>
          <w:sz w:val="21"/>
          <w:lang w:val="en-US" w:eastAsia="zh-CN"/>
        </w:rPr>
        <w:t>使用成熟、简单、兼容的技术，确保各主要浏览器均能支持与正常解析网页内容。合理使用网页特效，确保页面的特殊交互效果对访问者具有良好的引导性。</w:t>
      </w:r>
    </w:p>
    <w:p w14:paraId="41D52F93">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技术标准与内容分离：</w:t>
      </w:r>
      <w:r>
        <w:rPr>
          <w:rFonts w:hint="eastAsia"/>
          <w:b w:val="0"/>
          <w:bCs/>
          <w:sz w:val="21"/>
          <w:lang w:val="en-US" w:eastAsia="zh-CN"/>
        </w:rPr>
        <w:t>页面输出要制定技术标准，遵守内容与表现分离的原则和现行的技术规则。使用成熟、兼容的Web技术，确保文件结构规范，减少网站维护成本。</w:t>
      </w:r>
    </w:p>
    <w:p w14:paraId="3A3C739F">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代码规范与W3C标准：</w:t>
      </w:r>
      <w:r>
        <w:rPr>
          <w:rFonts w:hint="eastAsia"/>
          <w:b w:val="0"/>
          <w:bCs/>
          <w:sz w:val="21"/>
          <w:lang w:val="en-US" w:eastAsia="zh-CN"/>
        </w:rPr>
        <w:t>制定模板代码规范，包括模板、标签、CSS等，均遵循W3C标准。标签应使用跨平台的标准XML，以确保兼容各种平台。命名元素、标签、图片等要合理，符合浏览器的语义规范。</w:t>
      </w:r>
    </w:p>
    <w:p w14:paraId="3654024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还原设计效果：</w:t>
      </w:r>
      <w:r>
        <w:rPr>
          <w:rFonts w:hint="eastAsia"/>
          <w:b w:val="0"/>
          <w:bCs/>
          <w:sz w:val="21"/>
          <w:lang w:val="en-US" w:eastAsia="zh-CN"/>
        </w:rPr>
        <w:t>页面输出要符合源文件的设计效果，精确还原动态效果。页面尺寸应符合访问者不同终端的标准规范，对网站LOGO、页面标题、面包屑导航、版权信息及相关链接有统一的标准，并在页面中使用标签等技术简化维护。</w:t>
      </w:r>
    </w:p>
    <w:p w14:paraId="76140729">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代码结构与命名规范：</w:t>
      </w:r>
      <w:r>
        <w:rPr>
          <w:rFonts w:hint="eastAsia"/>
          <w:b w:val="0"/>
          <w:bCs/>
          <w:sz w:val="21"/>
          <w:lang w:val="en-US" w:eastAsia="zh-CN"/>
        </w:rPr>
        <w:t>对模板命名、代码结构、代码格式、注释格式等进行统一规定。模板文件命名应规范合理，方便查找与应用。HTML代码结构应清晰、整洁、嵌套合理，无冗余代码且有合理注释，易于维护。CSS定义应简洁、明了，命名规范，具有较好的复用性。合理使用JS，避免过多加载以提升页面性能。</w:t>
      </w:r>
    </w:p>
    <w:p w14:paraId="75DA06F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流程与交互功能：</w:t>
      </w:r>
      <w:r>
        <w:rPr>
          <w:rFonts w:hint="eastAsia"/>
          <w:b w:val="0"/>
          <w:bCs/>
          <w:sz w:val="21"/>
          <w:lang w:val="en-US" w:eastAsia="zh-CN"/>
        </w:rPr>
        <w:t>制定完备的流程保证规范的执行，确保前后台数据交互正常。确保注册、登录、提交、修改等表单功能正确，满足招标单位合同内的交互功能需求。</w:t>
      </w:r>
    </w:p>
    <w:p w14:paraId="1FC0DA56">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（16）网页安全性</w:t>
      </w:r>
    </w:p>
    <w:p w14:paraId="063A76E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为了确保网站的安全性、功能性和数据完整性，应遵循以下具体要求：</w:t>
      </w:r>
    </w:p>
    <w:p w14:paraId="577B170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前后台交互：</w:t>
      </w:r>
      <w:r>
        <w:rPr>
          <w:rFonts w:hint="eastAsia"/>
          <w:b w:val="0"/>
          <w:bCs/>
          <w:sz w:val="21"/>
          <w:lang w:val="en-US" w:eastAsia="zh-CN"/>
        </w:rPr>
        <w:t>确保前后台数据交互正常，注册、登录、提交、修改等表单功能正确，满足招标单位合同内的功能需求。</w:t>
      </w:r>
    </w:p>
    <w:p w14:paraId="4B7B373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模板备份与恢复：</w:t>
      </w:r>
      <w:r>
        <w:rPr>
          <w:rFonts w:hint="eastAsia"/>
          <w:b w:val="0"/>
          <w:bCs/>
          <w:sz w:val="21"/>
          <w:lang w:val="en-US" w:eastAsia="zh-CN"/>
        </w:rPr>
        <w:t>模板文件应有存放和备份机制，以便在紧急情况下及时修复或恢复，确保网站正常运行。</w:t>
      </w:r>
    </w:p>
    <w:p w14:paraId="75885E18">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模板与数据库分离：</w:t>
      </w:r>
      <w:r>
        <w:rPr>
          <w:rFonts w:hint="eastAsia"/>
          <w:b w:val="0"/>
          <w:bCs/>
          <w:sz w:val="21"/>
          <w:lang w:val="en-US" w:eastAsia="zh-CN"/>
        </w:rPr>
        <w:t>模板与数据库相分离，标签编写规范，使用成熟技术提高查询效率，并采用多种手段防止注入攻击，确保查询数据库和前台数据呈现的安全性。</w:t>
      </w:r>
    </w:p>
    <w:p w14:paraId="1B93BA07">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数据检查：</w:t>
      </w:r>
      <w:r>
        <w:rPr>
          <w:rFonts w:hint="eastAsia"/>
          <w:b w:val="0"/>
          <w:bCs/>
          <w:sz w:val="21"/>
          <w:lang w:val="en-US" w:eastAsia="zh-CN"/>
        </w:rPr>
        <w:t>对访问者通过前台页面提交的任何数据进行恶意代码检查，确保数据安全。</w:t>
      </w:r>
    </w:p>
    <w:p w14:paraId="6C95CE92">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安全备份与恢复机制：</w:t>
      </w:r>
      <w:r>
        <w:rPr>
          <w:rFonts w:hint="eastAsia"/>
          <w:b w:val="0"/>
          <w:bCs/>
          <w:sz w:val="21"/>
          <w:lang w:val="en-US" w:eastAsia="zh-CN"/>
        </w:rPr>
        <w:t>网站模板和数据必须有安全备份和恢复机制，确保在灾难时能迅速恢复，保证网站正常运行。</w:t>
      </w:r>
    </w:p>
    <w:p w14:paraId="5D70EF8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错误信息处理：</w:t>
      </w:r>
      <w:r>
        <w:rPr>
          <w:rFonts w:hint="eastAsia"/>
          <w:b w:val="0"/>
          <w:bCs/>
          <w:sz w:val="21"/>
          <w:lang w:val="en-US" w:eastAsia="zh-CN"/>
        </w:rPr>
        <w:t>网站底层程序的错误信息必须经过处理后再输出，防止将技术细节暴露给普通访问者。</w:t>
      </w:r>
    </w:p>
    <w:p w14:paraId="0EA23CD4">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val="0"/>
          <w:bCs/>
          <w:sz w:val="21"/>
          <w:lang w:val="en-US" w:eastAsia="zh-CN"/>
        </w:rPr>
      </w:pPr>
      <w:r>
        <w:rPr>
          <w:rFonts w:hint="eastAsia"/>
          <w:b/>
          <w:bCs w:val="0"/>
          <w:sz w:val="21"/>
          <w:lang w:val="en-US" w:eastAsia="zh-CN"/>
        </w:rPr>
        <w:t>数据加密：</w:t>
      </w:r>
      <w:r>
        <w:rPr>
          <w:rFonts w:hint="eastAsia"/>
          <w:b w:val="0"/>
          <w:bCs/>
          <w:sz w:val="21"/>
          <w:lang w:val="en-US" w:eastAsia="zh-CN"/>
        </w:rPr>
        <w:t>通过前台页面注册、登录的密码或其他机密数据必须使用成熟加密技术加密后才能写入Cookie，密码或其他机密数据必须用成熟加密技术加密后才能通过页面表单进行传递。</w:t>
      </w:r>
    </w:p>
    <w:p w14:paraId="689D168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p>
    <w:p w14:paraId="717E1A26">
      <w:pPr>
        <w:keepNext w:val="0"/>
        <w:keepLines w:val="0"/>
        <w:pageBreakBefore w:val="0"/>
        <w:widowControl w:val="0"/>
        <w:numPr>
          <w:ilvl w:val="0"/>
          <w:numId w:val="6"/>
        </w:numPr>
        <w:kinsoku/>
        <w:wordWrap/>
        <w:overflowPunct/>
        <w:topLinePunct w:val="0"/>
        <w:autoSpaceDE w:val="0"/>
        <w:autoSpaceDN w:val="0"/>
        <w:bidi w:val="0"/>
        <w:adjustRightInd/>
        <w:snapToGrid/>
        <w:spacing w:line="440" w:lineRule="exact"/>
        <w:ind w:left="397"/>
        <w:jc w:val="both"/>
        <w:textAlignment w:val="auto"/>
        <w:rPr>
          <w:rFonts w:hint="eastAsia"/>
          <w:b/>
          <w:bCs w:val="0"/>
          <w:sz w:val="21"/>
          <w:lang w:val="en-US" w:eastAsia="zh-CN"/>
        </w:rPr>
      </w:pPr>
      <w:r>
        <w:rPr>
          <w:rFonts w:hint="eastAsia"/>
          <w:b/>
          <w:bCs w:val="0"/>
          <w:sz w:val="21"/>
          <w:lang w:val="en-US" w:eastAsia="zh-CN"/>
        </w:rPr>
        <w:t>数据迁移要求</w:t>
      </w:r>
    </w:p>
    <w:p w14:paraId="2FE19CB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为了确保将原广州医科大学附属妇女儿童医疗中心门户网站的历史数据安全、可靠、完整地迁移到新网站相关栏目中，应遵循以下步骤和要求：</w:t>
      </w:r>
    </w:p>
    <w:p w14:paraId="1E45174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数据备份：</w:t>
      </w:r>
    </w:p>
    <w:p w14:paraId="2544E57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在数据迁移前，对原网站的所有数据进行全面备份，确保在任何情况下都能恢复原数据。备份数据应存储在多个安全地点，以防单点故障。</w:t>
      </w:r>
    </w:p>
    <w:p w14:paraId="29B7731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数据分析与整理：</w:t>
      </w:r>
    </w:p>
    <w:p w14:paraId="0EDFEE41">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对原网站的数据进行全面分析和整理，分类整理出需要迁移的数据，明确数据结构和关系。确保数据清晰无误，排除冗余和错误数据。</w:t>
      </w:r>
    </w:p>
    <w:p w14:paraId="4F8BAF5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迁移计划与测试：</w:t>
      </w:r>
    </w:p>
    <w:p w14:paraId="7AE20AAA">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制定详细的数据迁移计划，包括时间表、步骤、责任人和应急预案。在正式迁移前，进行多次测试迁移，确保数据迁移过程的可行性和准确性，发现并解决潜在问题。</w:t>
      </w:r>
    </w:p>
    <w:p w14:paraId="451CBD15">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数据迁移过程：</w:t>
      </w:r>
    </w:p>
    <w:p w14:paraId="221D5F86">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使用安全可靠的工具和技术进行数据迁移，确保数据在迁移过程中的完整性和安全性。实时监控数据迁移过程，记录迁移日志，以便追踪和排查问题。</w:t>
      </w:r>
    </w:p>
    <w:p w14:paraId="0C2E48E6">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数据验证与核对：</w:t>
      </w:r>
    </w:p>
    <w:p w14:paraId="07E61496">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数据迁移完成后，对迁移后的数据进行全面验证和核对，确保数据的一致性、完整性和准确性。比较新旧网站数据，确保无数据丢失、错误或重复。</w:t>
      </w:r>
    </w:p>
    <w:p w14:paraId="169A538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安全措施：</w:t>
      </w:r>
    </w:p>
    <w:p w14:paraId="09A5099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在数据迁移过程中，采取必要的安全措施，防止数据泄露、丢失或损坏。使用加密传输技术，确保数据在迁移过程中的安全。</w:t>
      </w:r>
    </w:p>
    <w:p w14:paraId="0B8F171D">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用户通知与协调：</w:t>
      </w:r>
    </w:p>
    <w:p w14:paraId="1839551C">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在数据迁移前后，及时通知相关用户和部门，协调数据迁移期间的工作安排。提供技术支持，帮助用户在新网站上正常访问和使用数据。</w:t>
      </w:r>
    </w:p>
    <w:p w14:paraId="2905983B">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2" w:firstLineChars="200"/>
        <w:jc w:val="both"/>
        <w:textAlignment w:val="auto"/>
        <w:rPr>
          <w:rFonts w:hint="eastAsia"/>
          <w:b/>
          <w:bCs w:val="0"/>
          <w:sz w:val="21"/>
          <w:lang w:val="en-US" w:eastAsia="zh-CN"/>
        </w:rPr>
      </w:pPr>
      <w:r>
        <w:rPr>
          <w:rFonts w:hint="eastAsia"/>
          <w:b/>
          <w:bCs w:val="0"/>
          <w:sz w:val="21"/>
          <w:lang w:val="en-US" w:eastAsia="zh-CN"/>
        </w:rPr>
        <w:t>数据备份与恢复：</w:t>
      </w:r>
    </w:p>
    <w:p w14:paraId="34960530">
      <w:pPr>
        <w:keepNext w:val="0"/>
        <w:keepLines w:val="0"/>
        <w:pageBreakBefore w:val="0"/>
        <w:widowControl w:val="0"/>
        <w:numPr>
          <w:ilvl w:val="0"/>
          <w:numId w:val="0"/>
        </w:numPr>
        <w:kinsoku/>
        <w:wordWrap/>
        <w:overflowPunct/>
        <w:topLinePunct w:val="0"/>
        <w:autoSpaceDE w:val="0"/>
        <w:autoSpaceDN w:val="0"/>
        <w:bidi w:val="0"/>
        <w:adjustRightInd/>
        <w:snapToGrid/>
        <w:spacing w:line="440" w:lineRule="exact"/>
        <w:ind w:firstLine="420" w:firstLineChars="200"/>
        <w:jc w:val="both"/>
        <w:textAlignment w:val="auto"/>
        <w:rPr>
          <w:rFonts w:hint="eastAsia"/>
          <w:b w:val="0"/>
          <w:bCs/>
          <w:sz w:val="21"/>
          <w:lang w:val="en-US" w:eastAsia="zh-CN"/>
        </w:rPr>
      </w:pPr>
      <w:r>
        <w:rPr>
          <w:rFonts w:hint="eastAsia"/>
          <w:b w:val="0"/>
          <w:bCs/>
          <w:sz w:val="21"/>
          <w:lang w:val="en-US" w:eastAsia="zh-CN"/>
        </w:rPr>
        <w:t>在数据迁移完成后，立即备份新网站的数据，确保在任何情况下都能恢复新网站的数据。定期进行数据备份，确保数据的长期安全和完整。</w:t>
      </w:r>
    </w:p>
    <w:p w14:paraId="1DECB316">
      <w:pPr>
        <w:spacing w:line="265" w:lineRule="exact"/>
        <w:ind w:left="398"/>
        <w:rPr>
          <w:b/>
          <w:sz w:val="21"/>
        </w:rPr>
      </w:pPr>
    </w:p>
    <w:p w14:paraId="4BDBF81C">
      <w:pPr>
        <w:keepNext w:val="0"/>
        <w:keepLines w:val="0"/>
        <w:pageBreakBefore w:val="0"/>
        <w:widowControl w:val="0"/>
        <w:numPr>
          <w:ilvl w:val="0"/>
          <w:numId w:val="0"/>
        </w:numPr>
        <w:kinsoku/>
        <w:wordWrap/>
        <w:overflowPunct/>
        <w:topLinePunct w:val="0"/>
        <w:autoSpaceDE w:val="0"/>
        <w:autoSpaceDN w:val="0"/>
        <w:bidi w:val="0"/>
        <w:adjustRightInd/>
        <w:snapToGrid/>
        <w:spacing w:after="120"/>
        <w:ind w:firstLine="422" w:firstLineChars="200"/>
        <w:textAlignment w:val="auto"/>
        <w:rPr>
          <w:rFonts w:ascii="Times New Roman" w:hAnsi="Times New Roman" w:eastAsia="宋体" w:cs="Times New Roman"/>
          <w:b/>
          <w:bCs/>
          <w:sz w:val="21"/>
          <w:szCs w:val="21"/>
        </w:rPr>
      </w:pPr>
      <w:r>
        <w:rPr>
          <w:rFonts w:hint="eastAsia" w:ascii="Times New Roman" w:hAnsi="Times New Roman" w:cs="Times New Roman"/>
          <w:b/>
          <w:bCs/>
          <w:sz w:val="21"/>
          <w:szCs w:val="21"/>
          <w:lang w:val="en-US" w:eastAsia="zh-CN"/>
        </w:rPr>
        <w:t>（四）</w:t>
      </w:r>
      <w:r>
        <w:rPr>
          <w:rFonts w:hint="default" w:ascii="Times New Roman" w:hAnsi="Times New Roman" w:cs="Times New Roman"/>
          <w:b/>
          <w:bCs/>
          <w:sz w:val="21"/>
          <w:szCs w:val="21"/>
          <w:lang w:eastAsia="zh-Hans"/>
        </w:rPr>
        <w:t>、</w:t>
      </w:r>
      <w:r>
        <w:rPr>
          <w:rFonts w:hint="eastAsia" w:ascii="Times New Roman" w:hAnsi="Times New Roman" w:eastAsia="宋体" w:cs="Times New Roman"/>
          <w:b/>
          <w:bCs/>
          <w:sz w:val="21"/>
          <w:szCs w:val="21"/>
        </w:rPr>
        <w:t>技术支持与售后服务</w:t>
      </w:r>
    </w:p>
    <w:p w14:paraId="3CA691E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为了确保网站建成后能够真正健康运行，除了开发阶段的努力之外，还需要开发和系统集成商提供雄厚的技术支持力量和优良的服务。投标方应据此制定详细的技术支持与服务方案，具体如下：</w:t>
      </w:r>
    </w:p>
    <w:p w14:paraId="1B05DBAC">
      <w:pPr>
        <w:spacing w:line="360" w:lineRule="auto"/>
        <w:ind w:left="420"/>
        <w:rPr>
          <w:rFonts w:hint="eastAsia" w:ascii="宋体" w:hAnsi="宋体" w:eastAsia="宋体" w:cs="宋体"/>
          <w:b/>
          <w:bCs/>
          <w:sz w:val="21"/>
          <w:szCs w:val="21"/>
        </w:rPr>
      </w:pPr>
      <w:r>
        <w:rPr>
          <w:rFonts w:hint="eastAsia" w:ascii="宋体" w:hAnsi="宋体" w:eastAsia="宋体" w:cs="宋体"/>
          <w:b/>
          <w:bCs/>
          <w:sz w:val="21"/>
          <w:szCs w:val="21"/>
        </w:rPr>
        <w:t>人员培训：</w:t>
      </w:r>
    </w:p>
    <w:p w14:paraId="492CF363">
      <w:pPr>
        <w:pStyle w:val="17"/>
        <w:numPr>
          <w:ilvl w:val="0"/>
          <w:numId w:val="8"/>
        </w:numPr>
        <w:spacing w:line="360" w:lineRule="auto"/>
        <w:rPr>
          <w:rFonts w:hint="eastAsia" w:ascii="宋体" w:hAnsi="宋体" w:eastAsia="宋体" w:cs="宋体"/>
          <w:sz w:val="21"/>
          <w:szCs w:val="21"/>
        </w:rPr>
      </w:pPr>
      <w:r>
        <w:rPr>
          <w:rFonts w:hint="eastAsia" w:ascii="宋体" w:hAnsi="宋体" w:eastAsia="宋体" w:cs="宋体"/>
          <w:sz w:val="21"/>
          <w:szCs w:val="21"/>
        </w:rPr>
        <w:t>为保障网站顺利运行，应进行相关培训安排。</w:t>
      </w:r>
    </w:p>
    <w:p w14:paraId="7E838430">
      <w:pPr>
        <w:pStyle w:val="17"/>
        <w:numPr>
          <w:ilvl w:val="0"/>
          <w:numId w:val="8"/>
        </w:numPr>
        <w:spacing w:line="360" w:lineRule="auto"/>
        <w:rPr>
          <w:rFonts w:hint="eastAsia" w:ascii="宋体" w:hAnsi="宋体" w:eastAsia="宋体" w:cs="宋体"/>
          <w:sz w:val="21"/>
          <w:szCs w:val="21"/>
        </w:rPr>
      </w:pPr>
      <w:r>
        <w:rPr>
          <w:rFonts w:hint="eastAsia" w:ascii="宋体" w:hAnsi="宋体" w:eastAsia="宋体" w:cs="宋体"/>
          <w:sz w:val="21"/>
          <w:szCs w:val="21"/>
        </w:rPr>
        <w:t>对网站管理员的培训时间应不少于5天，培训名额不少于2名。</w:t>
      </w:r>
    </w:p>
    <w:p w14:paraId="3EC58CFB">
      <w:pPr>
        <w:pStyle w:val="17"/>
        <w:numPr>
          <w:ilvl w:val="0"/>
          <w:numId w:val="8"/>
        </w:numPr>
        <w:spacing w:line="360" w:lineRule="auto"/>
        <w:rPr>
          <w:rFonts w:hint="eastAsia" w:ascii="宋体" w:hAnsi="宋体" w:eastAsia="宋体" w:cs="宋体"/>
          <w:sz w:val="21"/>
          <w:szCs w:val="21"/>
        </w:rPr>
      </w:pPr>
      <w:r>
        <w:rPr>
          <w:rFonts w:hint="eastAsia" w:ascii="宋体" w:hAnsi="宋体" w:eastAsia="宋体" w:cs="宋体"/>
          <w:sz w:val="21"/>
          <w:szCs w:val="21"/>
        </w:rPr>
        <w:t>对所有相关的软件操作员进行现场培训，时间不应少于1天，以使操作员尽快适应软件。</w:t>
      </w:r>
    </w:p>
    <w:p w14:paraId="6B2E33CE">
      <w:pPr>
        <w:spacing w:line="360" w:lineRule="auto"/>
        <w:ind w:left="420"/>
        <w:rPr>
          <w:rFonts w:hint="eastAsia" w:ascii="宋体" w:hAnsi="宋体" w:eastAsia="宋体" w:cs="宋体"/>
          <w:b/>
          <w:bCs/>
          <w:sz w:val="21"/>
          <w:szCs w:val="21"/>
        </w:rPr>
      </w:pPr>
      <w:r>
        <w:rPr>
          <w:rFonts w:hint="eastAsia" w:ascii="宋体" w:hAnsi="宋体" w:eastAsia="宋体" w:cs="宋体"/>
          <w:b/>
          <w:bCs/>
          <w:sz w:val="21"/>
          <w:szCs w:val="21"/>
        </w:rPr>
        <w:t>售后服务：</w:t>
      </w:r>
    </w:p>
    <w:p w14:paraId="1E133546">
      <w:pPr>
        <w:pStyle w:val="17"/>
        <w:numPr>
          <w:ilvl w:val="0"/>
          <w:numId w:val="9"/>
        </w:numPr>
        <w:spacing w:line="360" w:lineRule="auto"/>
        <w:rPr>
          <w:rFonts w:hint="eastAsia" w:ascii="宋体" w:hAnsi="宋体" w:eastAsia="宋体" w:cs="宋体"/>
          <w:sz w:val="21"/>
          <w:szCs w:val="21"/>
        </w:rPr>
      </w:pPr>
      <w:r>
        <w:rPr>
          <w:rFonts w:hint="eastAsia" w:ascii="宋体" w:hAnsi="宋体" w:eastAsia="宋体" w:cs="宋体"/>
          <w:b/>
          <w:bCs/>
          <w:sz w:val="21"/>
          <w:szCs w:val="21"/>
        </w:rPr>
        <w:t>免费技术支持服务：</w:t>
      </w:r>
      <w:r>
        <w:rPr>
          <w:rFonts w:hint="eastAsia" w:ascii="宋体" w:hAnsi="宋体" w:eastAsia="宋体" w:cs="宋体"/>
          <w:sz w:val="21"/>
          <w:szCs w:val="21"/>
        </w:rPr>
        <w:t>验收合格后，提供至少1年免费技术支持服务，包括但不限于技术支持、提醒通知、软件安装、网站安全检测和设置、服务器安全检测和设置、网站被黑后的恢复及防范服务等。服务期限内所有服务内容无次数限制。</w:t>
      </w:r>
    </w:p>
    <w:p w14:paraId="689D8A60">
      <w:pPr>
        <w:pStyle w:val="17"/>
        <w:numPr>
          <w:ilvl w:val="0"/>
          <w:numId w:val="9"/>
        </w:numPr>
        <w:spacing w:line="360" w:lineRule="auto"/>
        <w:rPr>
          <w:rFonts w:hint="eastAsia" w:ascii="宋体" w:hAnsi="宋体" w:eastAsia="宋体" w:cs="宋体"/>
          <w:sz w:val="21"/>
          <w:szCs w:val="21"/>
        </w:rPr>
      </w:pPr>
      <w:r>
        <w:rPr>
          <w:rFonts w:hint="eastAsia" w:ascii="宋体" w:hAnsi="宋体" w:eastAsia="宋体" w:cs="宋体"/>
          <w:b/>
          <w:bCs/>
          <w:sz w:val="21"/>
          <w:szCs w:val="21"/>
        </w:rPr>
        <w:t>开发人员支持：</w:t>
      </w:r>
      <w:r>
        <w:rPr>
          <w:rFonts w:hint="eastAsia" w:ascii="宋体" w:hAnsi="宋体" w:eastAsia="宋体" w:cs="宋体"/>
          <w:sz w:val="21"/>
          <w:szCs w:val="21"/>
        </w:rPr>
        <w:t>在1年免费维护期内，中标方需提供开发人员1人无缝对接技术支持，包括驻地技术服务和网站操作培训。</w:t>
      </w:r>
    </w:p>
    <w:p w14:paraId="78AE1234">
      <w:pPr>
        <w:pStyle w:val="17"/>
        <w:numPr>
          <w:ilvl w:val="0"/>
          <w:numId w:val="9"/>
        </w:numPr>
        <w:spacing w:line="360" w:lineRule="auto"/>
        <w:rPr>
          <w:rFonts w:ascii="Times New Roman" w:hAnsi="Times New Roman" w:eastAsia="宋体" w:cs="Times New Roman"/>
          <w:szCs w:val="24"/>
        </w:rPr>
      </w:pPr>
      <w:r>
        <w:rPr>
          <w:rFonts w:hint="eastAsia" w:ascii="宋体" w:hAnsi="宋体" w:eastAsia="宋体" w:cs="宋体"/>
          <w:b/>
          <w:bCs/>
          <w:sz w:val="21"/>
          <w:szCs w:val="21"/>
        </w:rPr>
        <w:t>技术支持服务：</w:t>
      </w:r>
      <w:r>
        <w:rPr>
          <w:rFonts w:hint="eastAsia" w:ascii="宋体" w:hAnsi="宋体" w:eastAsia="宋体" w:cs="宋体"/>
          <w:sz w:val="21"/>
          <w:szCs w:val="21"/>
        </w:rPr>
        <w:t>提供7×8小时技术支持服务，保障网站平台正常运行。提供免费7×24小时电话技术支持。如遇重大技术问题，应及时组织专家进行会诊，并在4小时内采取措施，确保系统在出现故障后12小时内恢复正常运行。</w:t>
      </w:r>
    </w:p>
    <w:p w14:paraId="2024F784">
      <w:pPr>
        <w:pStyle w:val="17"/>
        <w:numPr>
          <w:ilvl w:val="0"/>
          <w:numId w:val="9"/>
        </w:numPr>
        <w:spacing w:line="360" w:lineRule="auto"/>
        <w:rPr>
          <w:rFonts w:ascii="Times New Roman" w:hAnsi="Times New Roman" w:eastAsia="宋体" w:cs="Times New Roman"/>
          <w:szCs w:val="24"/>
        </w:rPr>
      </w:pPr>
      <w:r>
        <w:rPr>
          <w:rFonts w:hint="eastAsia" w:ascii="宋体" w:hAnsi="宋体" w:eastAsia="宋体" w:cs="宋体"/>
          <w:sz w:val="21"/>
          <w:szCs w:val="21"/>
          <w:lang w:val="en-US" w:eastAsia="zh-Hans"/>
        </w:rPr>
        <w:t>项目验收以完整代码交付为基础</w:t>
      </w:r>
      <w:r>
        <w:rPr>
          <w:rFonts w:hint="default" w:ascii="宋体" w:hAnsi="宋体" w:eastAsia="宋体" w:cs="宋体"/>
          <w:sz w:val="21"/>
          <w:szCs w:val="21"/>
          <w:lang w:eastAsia="zh-Hans"/>
        </w:rPr>
        <w:t>。</w:t>
      </w:r>
    </w:p>
    <w:p w14:paraId="77158D53">
      <w:pPr>
        <w:keepNext w:val="0"/>
        <w:keepLines w:val="0"/>
        <w:pageBreakBefore w:val="0"/>
        <w:widowControl w:val="0"/>
        <w:kinsoku/>
        <w:wordWrap/>
        <w:overflowPunct/>
        <w:topLinePunct w:val="0"/>
        <w:autoSpaceDE w:val="0"/>
        <w:autoSpaceDN w:val="0"/>
        <w:bidi w:val="0"/>
        <w:adjustRightInd/>
        <w:spacing w:before="61" w:line="440" w:lineRule="exact"/>
        <w:ind w:left="398"/>
        <w:rPr>
          <w:rFonts w:hint="eastAsia" w:ascii="宋体" w:hAnsi="宋体" w:eastAsia="宋体" w:cs="宋体"/>
          <w:kern w:val="0"/>
          <w:sz w:val="24"/>
          <w:szCs w:val="24"/>
        </w:rPr>
      </w:pPr>
      <w:r>
        <w:rPr>
          <w:rFonts w:hint="eastAsia" w:ascii="宋体" w:hAnsi="宋体" w:eastAsia="宋体" w:cs="宋体"/>
          <w:kern w:val="0"/>
          <w:sz w:val="24"/>
          <w:szCs w:val="24"/>
        </w:rPr>
        <w:t>备注：必须完全响应以上所有售后服务要求，否则投标无效。</w:t>
      </w:r>
    </w:p>
    <w:p w14:paraId="320B7B12">
      <w:pPr>
        <w:keepNext w:val="0"/>
        <w:keepLines w:val="0"/>
        <w:pageBreakBefore w:val="0"/>
        <w:widowControl w:val="0"/>
        <w:kinsoku/>
        <w:wordWrap/>
        <w:overflowPunct/>
        <w:topLinePunct w:val="0"/>
        <w:autoSpaceDE w:val="0"/>
        <w:autoSpaceDN w:val="0"/>
        <w:bidi w:val="0"/>
        <w:adjustRightInd/>
        <w:spacing w:before="61" w:line="440" w:lineRule="exact"/>
        <w:ind w:left="398"/>
        <w:rPr>
          <w:b/>
          <w:sz w:val="21"/>
        </w:rPr>
      </w:pPr>
      <w:r>
        <w:rPr>
          <w:rFonts w:hint="eastAsia"/>
          <w:b/>
          <w:sz w:val="21"/>
          <w:lang w:val="en-US" w:eastAsia="zh-CN"/>
        </w:rPr>
        <w:t>四</w:t>
      </w:r>
      <w:r>
        <w:rPr>
          <w:b/>
          <w:sz w:val="21"/>
        </w:rPr>
        <w:t>、 付款方式</w:t>
      </w:r>
    </w:p>
    <w:p w14:paraId="5D3BBCEC">
      <w:pPr>
        <w:pStyle w:val="5"/>
        <w:keepNext w:val="0"/>
        <w:keepLines w:val="0"/>
        <w:pageBreakBefore w:val="0"/>
        <w:widowControl w:val="0"/>
        <w:kinsoku/>
        <w:wordWrap/>
        <w:overflowPunct/>
        <w:topLinePunct w:val="0"/>
        <w:autoSpaceDE w:val="0"/>
        <w:autoSpaceDN w:val="0"/>
        <w:bidi w:val="0"/>
        <w:adjustRightInd/>
        <w:spacing w:before="140" w:line="440" w:lineRule="exact"/>
        <w:ind w:firstLine="420" w:firstLineChars="200"/>
      </w:pPr>
      <w:r>
        <w:t>由采购人按下列程序付款：</w:t>
      </w:r>
    </w:p>
    <w:p w14:paraId="5005760E">
      <w:pPr>
        <w:keepNext w:val="0"/>
        <w:keepLines w:val="0"/>
        <w:pageBreakBefore w:val="0"/>
        <w:widowControl w:val="0"/>
        <w:numPr>
          <w:ilvl w:val="0"/>
          <w:numId w:val="10"/>
        </w:numPr>
        <w:kinsoku/>
        <w:wordWrap/>
        <w:overflowPunct/>
        <w:topLinePunct w:val="0"/>
        <w:autoSpaceDE w:val="0"/>
        <w:autoSpaceDN w:val="0"/>
        <w:bidi w:val="0"/>
        <w:adjustRightInd/>
        <w:snapToGrid w:val="0"/>
        <w:spacing w:line="440" w:lineRule="exact"/>
        <w:ind w:firstLine="420" w:firstLineChars="200"/>
        <w:textAlignment w:val="bottom"/>
        <w:rPr>
          <w:rStyle w:val="18"/>
          <w:rFonts w:hint="default" w:ascii="宋体" w:hAnsi="宋体"/>
          <w:b w:val="0"/>
          <w:bCs/>
          <w:sz w:val="21"/>
          <w:szCs w:val="21"/>
          <w:u w:val="none" w:color="auto"/>
          <w:lang w:eastAsia="zh-Hans"/>
        </w:rPr>
      </w:pPr>
      <w:r>
        <w:rPr>
          <w:rStyle w:val="18"/>
          <w:rFonts w:hint="eastAsia" w:ascii="宋体" w:hAnsi="宋体"/>
          <w:b w:val="0"/>
          <w:bCs/>
          <w:sz w:val="21"/>
          <w:szCs w:val="21"/>
          <w:u w:val="none" w:color="auto"/>
          <w:lang w:val="en-US" w:eastAsia="zh-Hans"/>
        </w:rPr>
        <w:t>付款比例</w:t>
      </w:r>
      <w:r>
        <w:rPr>
          <w:rStyle w:val="18"/>
          <w:rFonts w:hint="default" w:ascii="宋体" w:hAnsi="宋体"/>
          <w:b w:val="0"/>
          <w:bCs/>
          <w:sz w:val="21"/>
          <w:szCs w:val="21"/>
          <w:u w:val="none" w:color="auto"/>
          <w:lang w:eastAsia="zh-Hans"/>
        </w:rPr>
        <w:t>：</w:t>
      </w:r>
    </w:p>
    <w:p w14:paraId="04CE58C1">
      <w:pPr>
        <w:keepNext w:val="0"/>
        <w:keepLines w:val="0"/>
        <w:pageBreakBefore w:val="0"/>
        <w:widowControl w:val="0"/>
        <w:numPr>
          <w:ilvl w:val="0"/>
          <w:numId w:val="0"/>
        </w:numPr>
        <w:kinsoku/>
        <w:wordWrap/>
        <w:overflowPunct/>
        <w:topLinePunct w:val="0"/>
        <w:autoSpaceDE w:val="0"/>
        <w:autoSpaceDN w:val="0"/>
        <w:bidi w:val="0"/>
        <w:adjustRightInd/>
        <w:snapToGrid w:val="0"/>
        <w:spacing w:line="440" w:lineRule="exact"/>
        <w:ind w:firstLine="420" w:firstLineChars="200"/>
        <w:textAlignment w:val="bottom"/>
        <w:rPr>
          <w:rStyle w:val="18"/>
          <w:rFonts w:ascii="宋体" w:hAnsi="宋体"/>
          <w:b w:val="0"/>
          <w:bCs/>
          <w:sz w:val="21"/>
          <w:szCs w:val="21"/>
          <w:u w:val="none" w:color="auto"/>
        </w:rPr>
      </w:pPr>
      <w:r>
        <w:rPr>
          <w:rStyle w:val="18"/>
          <w:rFonts w:ascii="宋体" w:hAnsi="宋体"/>
          <w:b w:val="0"/>
          <w:bCs/>
          <w:sz w:val="21"/>
          <w:szCs w:val="21"/>
          <w:u w:val="none" w:color="auto"/>
        </w:rPr>
        <w:t>（</w:t>
      </w:r>
      <w:r>
        <w:rPr>
          <w:rStyle w:val="18"/>
          <w:rFonts w:hint="default" w:ascii="宋体" w:hAnsi="宋体"/>
          <w:b w:val="0"/>
          <w:bCs/>
          <w:sz w:val="21"/>
          <w:szCs w:val="21"/>
          <w:u w:val="none" w:color="auto"/>
        </w:rPr>
        <w:t>1</w:t>
      </w:r>
      <w:r>
        <w:rPr>
          <w:rStyle w:val="18"/>
          <w:rFonts w:ascii="宋体" w:hAnsi="宋体"/>
          <w:b w:val="0"/>
          <w:bCs/>
          <w:sz w:val="21"/>
          <w:szCs w:val="21"/>
          <w:u w:val="none" w:color="auto"/>
        </w:rPr>
        <w:t>）</w:t>
      </w:r>
      <w:r>
        <w:rPr>
          <w:spacing w:val="-6"/>
          <w:sz w:val="21"/>
          <w:u w:val="none" w:color="auto"/>
        </w:rPr>
        <w:t>采购人</w:t>
      </w:r>
      <w:r>
        <w:rPr>
          <w:rFonts w:hint="eastAsia"/>
          <w:spacing w:val="-6"/>
          <w:sz w:val="21"/>
          <w:u w:val="none" w:color="auto"/>
          <w:lang w:val="en-US" w:eastAsia="zh-CN"/>
        </w:rPr>
        <w:t>与中标人签订合同后</w:t>
      </w:r>
      <w:r>
        <w:rPr>
          <w:rStyle w:val="18"/>
          <w:rFonts w:ascii="宋体" w:hAnsi="宋体"/>
          <w:b w:val="0"/>
          <w:bCs/>
          <w:sz w:val="21"/>
          <w:szCs w:val="21"/>
          <w:u w:val="none" w:color="auto"/>
        </w:rPr>
        <w:t>一个月内，</w:t>
      </w:r>
      <w:r>
        <w:rPr>
          <w:rStyle w:val="18"/>
          <w:rFonts w:hint="eastAsia"/>
          <w:b w:val="0"/>
          <w:bCs/>
          <w:sz w:val="21"/>
          <w:szCs w:val="21"/>
          <w:u w:val="none" w:color="auto"/>
          <w:lang w:val="en-US" w:eastAsia="zh-CN"/>
        </w:rPr>
        <w:t>采购人向中标人</w:t>
      </w:r>
      <w:r>
        <w:rPr>
          <w:rStyle w:val="18"/>
          <w:rFonts w:ascii="宋体" w:hAnsi="宋体"/>
          <w:b w:val="0"/>
          <w:bCs/>
          <w:sz w:val="21"/>
          <w:szCs w:val="21"/>
          <w:u w:val="none" w:color="auto"/>
        </w:rPr>
        <w:t>支付合同总价</w:t>
      </w:r>
      <w:r>
        <w:rPr>
          <w:rStyle w:val="18"/>
          <w:rFonts w:hint="default"/>
          <w:b w:val="0"/>
          <w:bCs/>
          <w:sz w:val="21"/>
          <w:szCs w:val="21"/>
          <w:u w:val="none" w:color="auto"/>
        </w:rPr>
        <w:t>50</w:t>
      </w:r>
      <w:r>
        <w:rPr>
          <w:rStyle w:val="18"/>
          <w:rFonts w:ascii="宋体" w:hAnsi="宋体"/>
          <w:b w:val="0"/>
          <w:bCs/>
          <w:sz w:val="21"/>
          <w:szCs w:val="21"/>
          <w:u w:val="none" w:color="auto"/>
        </w:rPr>
        <w:t>％的预付款，</w:t>
      </w:r>
      <w:r>
        <w:rPr>
          <w:rStyle w:val="18"/>
          <w:rFonts w:hint="eastAsia"/>
          <w:b w:val="0"/>
          <w:bCs/>
          <w:sz w:val="21"/>
          <w:szCs w:val="21"/>
          <w:u w:val="none" w:color="auto"/>
          <w:lang w:val="en-US" w:eastAsia="zh-CN"/>
        </w:rPr>
        <w:t>中标人向采购人开具合法有效票据及提交采购人要求的其他相关结算资料</w:t>
      </w:r>
      <w:r>
        <w:rPr>
          <w:rStyle w:val="18"/>
          <w:rFonts w:ascii="宋体" w:hAnsi="宋体"/>
          <w:b w:val="0"/>
          <w:bCs/>
          <w:sz w:val="21"/>
          <w:szCs w:val="21"/>
          <w:u w:val="none" w:color="auto"/>
        </w:rPr>
        <w:t>。</w:t>
      </w:r>
    </w:p>
    <w:p w14:paraId="55A9E85C">
      <w:pPr>
        <w:snapToGrid w:val="0"/>
        <w:spacing w:line="360" w:lineRule="auto"/>
        <w:ind w:firstLine="420" w:firstLineChars="200"/>
        <w:textAlignment w:val="bottom"/>
        <w:rPr>
          <w:rStyle w:val="18"/>
          <w:rFonts w:hint="eastAsia" w:ascii="宋体" w:hAnsi="宋体"/>
          <w:b w:val="0"/>
          <w:bCs/>
          <w:sz w:val="21"/>
          <w:szCs w:val="21"/>
          <w:u w:val="none" w:color="auto"/>
        </w:rPr>
      </w:pPr>
      <w:r>
        <w:rPr>
          <w:rStyle w:val="18"/>
          <w:rFonts w:ascii="宋体" w:hAnsi="宋体"/>
          <w:b w:val="0"/>
          <w:bCs/>
          <w:sz w:val="21"/>
          <w:szCs w:val="21"/>
          <w:u w:val="none" w:color="auto"/>
        </w:rPr>
        <w:t>（</w:t>
      </w:r>
      <w:r>
        <w:rPr>
          <w:rStyle w:val="18"/>
          <w:rFonts w:hint="default" w:ascii="宋体" w:hAnsi="宋体"/>
          <w:b w:val="0"/>
          <w:bCs/>
          <w:sz w:val="21"/>
          <w:szCs w:val="21"/>
          <w:u w:val="none" w:color="auto"/>
        </w:rPr>
        <w:t>2</w:t>
      </w:r>
      <w:r>
        <w:rPr>
          <w:rStyle w:val="18"/>
          <w:rFonts w:ascii="宋体" w:hAnsi="宋体"/>
          <w:b w:val="0"/>
          <w:bCs/>
          <w:sz w:val="21"/>
          <w:szCs w:val="21"/>
          <w:u w:val="none" w:color="auto"/>
        </w:rPr>
        <w:t>）</w:t>
      </w:r>
      <w:r>
        <w:rPr>
          <w:rFonts w:hint="eastAsia"/>
          <w:spacing w:val="-6"/>
          <w:sz w:val="21"/>
          <w:u w:val="none" w:color="auto"/>
          <w:lang w:val="en-US" w:eastAsia="zh-CN"/>
        </w:rPr>
        <w:t>中标人</w:t>
      </w:r>
      <w:r>
        <w:rPr>
          <w:rStyle w:val="18"/>
          <w:rFonts w:hint="eastAsia"/>
          <w:b w:val="0"/>
          <w:bCs/>
          <w:sz w:val="21"/>
          <w:szCs w:val="21"/>
          <w:u w:val="none" w:color="auto"/>
          <w:lang w:val="en-US" w:eastAsia="zh-CN"/>
        </w:rPr>
        <w:t>完成</w:t>
      </w:r>
      <w:r>
        <w:rPr>
          <w:rStyle w:val="18"/>
          <w:rFonts w:ascii="宋体" w:hAnsi="宋体"/>
          <w:b w:val="0"/>
          <w:bCs/>
          <w:sz w:val="21"/>
          <w:szCs w:val="21"/>
          <w:u w:val="none" w:color="auto"/>
        </w:rPr>
        <w:t>升级改造</w:t>
      </w:r>
      <w:r>
        <w:rPr>
          <w:rStyle w:val="18"/>
          <w:rFonts w:hint="eastAsia"/>
          <w:b w:val="0"/>
          <w:bCs/>
          <w:sz w:val="21"/>
          <w:szCs w:val="21"/>
          <w:u w:val="none" w:color="auto"/>
          <w:lang w:val="en-US" w:eastAsia="zh-CN"/>
        </w:rPr>
        <w:t>项目后</w:t>
      </w:r>
      <w:r>
        <w:rPr>
          <w:rStyle w:val="18"/>
          <w:rFonts w:ascii="宋体" w:hAnsi="宋体"/>
          <w:b w:val="0"/>
          <w:bCs/>
          <w:sz w:val="21"/>
          <w:szCs w:val="21"/>
          <w:u w:val="none" w:color="auto"/>
        </w:rPr>
        <w:t>，经</w:t>
      </w:r>
      <w:r>
        <w:rPr>
          <w:rStyle w:val="18"/>
          <w:rFonts w:hint="eastAsia"/>
          <w:b w:val="0"/>
          <w:bCs/>
          <w:sz w:val="21"/>
          <w:szCs w:val="21"/>
          <w:u w:val="none" w:color="auto"/>
          <w:lang w:val="en-US" w:eastAsia="zh-CN"/>
        </w:rPr>
        <w:t>双方验收合格并签字盖章后，</w:t>
      </w:r>
      <w:r>
        <w:rPr>
          <w:spacing w:val="-6"/>
          <w:sz w:val="21"/>
          <w:u w:val="none" w:color="auto"/>
        </w:rPr>
        <w:t>采购人</w:t>
      </w:r>
      <w:r>
        <w:rPr>
          <w:rStyle w:val="18"/>
          <w:rFonts w:hint="eastAsia" w:ascii="宋体" w:hAnsi="宋体"/>
          <w:b w:val="0"/>
          <w:bCs/>
          <w:sz w:val="21"/>
          <w:szCs w:val="21"/>
          <w:u w:val="none" w:color="auto"/>
        </w:rPr>
        <w:t>向</w:t>
      </w:r>
      <w:r>
        <w:rPr>
          <w:rFonts w:hint="eastAsia"/>
          <w:spacing w:val="-6"/>
          <w:sz w:val="21"/>
          <w:u w:val="none" w:color="auto"/>
          <w:lang w:val="en-US" w:eastAsia="zh-CN"/>
        </w:rPr>
        <w:t>中标人</w:t>
      </w:r>
      <w:r>
        <w:rPr>
          <w:rStyle w:val="18"/>
          <w:rFonts w:hint="eastAsia" w:ascii="宋体" w:hAnsi="宋体"/>
          <w:b w:val="0"/>
          <w:bCs/>
          <w:sz w:val="21"/>
          <w:szCs w:val="21"/>
          <w:u w:val="none" w:color="auto"/>
        </w:rPr>
        <w:t>支付合同总价的40%，</w:t>
      </w:r>
      <w:r>
        <w:rPr>
          <w:rFonts w:hint="eastAsia"/>
          <w:spacing w:val="-6"/>
          <w:sz w:val="21"/>
          <w:u w:val="none" w:color="auto"/>
          <w:lang w:val="en-US" w:eastAsia="zh-CN"/>
        </w:rPr>
        <w:t>中标人</w:t>
      </w:r>
      <w:r>
        <w:rPr>
          <w:rStyle w:val="18"/>
          <w:rFonts w:hint="eastAsia" w:ascii="宋体" w:hAnsi="宋体"/>
          <w:b w:val="0"/>
          <w:bCs/>
          <w:sz w:val="21"/>
          <w:szCs w:val="21"/>
          <w:u w:val="none" w:color="auto"/>
        </w:rPr>
        <w:t>向</w:t>
      </w:r>
      <w:r>
        <w:rPr>
          <w:spacing w:val="-6"/>
          <w:sz w:val="21"/>
          <w:u w:val="none" w:color="auto"/>
        </w:rPr>
        <w:t>采购人</w:t>
      </w:r>
      <w:r>
        <w:rPr>
          <w:rStyle w:val="18"/>
          <w:rFonts w:hint="eastAsia" w:ascii="宋体" w:hAnsi="宋体"/>
          <w:b w:val="0"/>
          <w:bCs/>
          <w:sz w:val="21"/>
          <w:szCs w:val="21"/>
          <w:u w:val="none" w:color="auto"/>
        </w:rPr>
        <w:t>开具</w:t>
      </w:r>
      <w:r>
        <w:rPr>
          <w:rStyle w:val="18"/>
          <w:rFonts w:hint="eastAsia"/>
          <w:b w:val="0"/>
          <w:bCs/>
          <w:sz w:val="21"/>
          <w:szCs w:val="21"/>
          <w:u w:val="none" w:color="auto"/>
          <w:lang w:val="en-US" w:eastAsia="zh-CN"/>
        </w:rPr>
        <w:t>合</w:t>
      </w:r>
      <w:r>
        <w:rPr>
          <w:rStyle w:val="18"/>
          <w:rFonts w:hint="eastAsia" w:ascii="宋体" w:hAnsi="宋体"/>
          <w:b w:val="0"/>
          <w:bCs/>
          <w:sz w:val="21"/>
          <w:szCs w:val="21"/>
          <w:u w:val="none" w:color="auto"/>
        </w:rPr>
        <w:t>法有效票据及提交</w:t>
      </w:r>
      <w:r>
        <w:rPr>
          <w:spacing w:val="-6"/>
          <w:sz w:val="21"/>
          <w:u w:val="none" w:color="auto"/>
        </w:rPr>
        <w:t>采购人</w:t>
      </w:r>
      <w:r>
        <w:rPr>
          <w:rStyle w:val="18"/>
          <w:rFonts w:hint="eastAsia" w:ascii="宋体" w:hAnsi="宋体"/>
          <w:b w:val="0"/>
          <w:bCs/>
          <w:sz w:val="21"/>
          <w:szCs w:val="21"/>
          <w:u w:val="none" w:color="auto"/>
        </w:rPr>
        <w:t>要求的其它相关结算资料；</w:t>
      </w:r>
    </w:p>
    <w:p w14:paraId="58D55F41">
      <w:pPr>
        <w:pStyle w:val="14"/>
        <w:numPr>
          <w:ilvl w:val="0"/>
          <w:numId w:val="0"/>
        </w:numPr>
        <w:tabs>
          <w:tab w:val="left" w:pos="824"/>
        </w:tabs>
        <w:spacing w:before="139" w:line="364" w:lineRule="auto"/>
        <w:ind w:left="398" w:leftChars="0" w:right="451" w:rightChars="0"/>
        <w:jc w:val="both"/>
        <w:rPr>
          <w:rFonts w:hint="default"/>
          <w:b w:val="0"/>
          <w:bCs/>
          <w:sz w:val="21"/>
          <w:szCs w:val="21"/>
          <w:u w:val="none" w:color="auto"/>
        </w:rPr>
      </w:pPr>
      <w:r>
        <w:rPr>
          <w:rStyle w:val="18"/>
          <w:rFonts w:hint="eastAsia" w:ascii="宋体" w:hAnsi="宋体"/>
          <w:b w:val="0"/>
          <w:bCs/>
          <w:sz w:val="21"/>
          <w:szCs w:val="21"/>
          <w:u w:val="none" w:color="auto"/>
        </w:rPr>
        <w:t>（</w:t>
      </w:r>
      <w:r>
        <w:rPr>
          <w:rStyle w:val="18"/>
          <w:rFonts w:hint="default" w:ascii="宋体" w:hAnsi="宋体"/>
          <w:b w:val="0"/>
          <w:bCs/>
          <w:sz w:val="21"/>
          <w:szCs w:val="21"/>
          <w:u w:val="none" w:color="auto"/>
        </w:rPr>
        <w:t>3</w:t>
      </w:r>
      <w:r>
        <w:rPr>
          <w:rStyle w:val="18"/>
          <w:rFonts w:hint="eastAsia" w:ascii="宋体" w:hAnsi="宋体"/>
          <w:b w:val="0"/>
          <w:bCs/>
          <w:sz w:val="21"/>
          <w:szCs w:val="21"/>
          <w:u w:val="none" w:color="auto"/>
        </w:rPr>
        <w:t>）剩余</w:t>
      </w:r>
      <w:r>
        <w:rPr>
          <w:rStyle w:val="18"/>
          <w:rFonts w:ascii="宋体" w:hAnsi="宋体"/>
          <w:b w:val="0"/>
          <w:bCs/>
          <w:sz w:val="21"/>
          <w:szCs w:val="21"/>
          <w:u w:val="none" w:color="auto"/>
        </w:rPr>
        <w:t>合同总价的</w:t>
      </w:r>
      <w:r>
        <w:rPr>
          <w:rStyle w:val="18"/>
          <w:rFonts w:hint="default"/>
          <w:b w:val="0"/>
          <w:bCs/>
          <w:sz w:val="21"/>
          <w:szCs w:val="21"/>
          <w:u w:val="none" w:color="auto"/>
        </w:rPr>
        <w:t>10</w:t>
      </w:r>
      <w:r>
        <w:rPr>
          <w:rStyle w:val="18"/>
          <w:rFonts w:ascii="宋体" w:hAnsi="宋体"/>
          <w:b w:val="0"/>
          <w:bCs/>
          <w:sz w:val="21"/>
          <w:szCs w:val="21"/>
          <w:u w:val="none" w:color="auto"/>
        </w:rPr>
        <w:t>%</w:t>
      </w:r>
      <w:r>
        <w:rPr>
          <w:rStyle w:val="18"/>
          <w:rFonts w:hint="eastAsia" w:ascii="宋体" w:hAnsi="宋体"/>
          <w:b w:val="0"/>
          <w:bCs/>
          <w:sz w:val="21"/>
          <w:szCs w:val="21"/>
          <w:u w:val="none" w:color="auto"/>
        </w:rPr>
        <w:t>，</w:t>
      </w:r>
      <w:r>
        <w:rPr>
          <w:rStyle w:val="18"/>
          <w:rFonts w:ascii="宋体" w:hAnsi="宋体"/>
          <w:b w:val="0"/>
          <w:bCs/>
          <w:sz w:val="21"/>
          <w:szCs w:val="21"/>
          <w:u w:val="none" w:color="auto"/>
        </w:rPr>
        <w:t>验收合格后</w:t>
      </w:r>
      <w:r>
        <w:rPr>
          <w:rStyle w:val="18"/>
          <w:rFonts w:hint="eastAsia" w:ascii="宋体" w:hAnsi="宋体"/>
          <w:b w:val="0"/>
          <w:bCs/>
          <w:sz w:val="21"/>
          <w:szCs w:val="21"/>
          <w:u w:val="none" w:color="auto"/>
        </w:rPr>
        <w:t>满1年后全额支付（不计息）</w:t>
      </w:r>
      <w:r>
        <w:rPr>
          <w:rStyle w:val="18"/>
          <w:rFonts w:hint="default"/>
          <w:b w:val="0"/>
          <w:bCs/>
          <w:sz w:val="21"/>
          <w:szCs w:val="21"/>
          <w:u w:val="none" w:color="auto"/>
        </w:rPr>
        <w:t>；</w:t>
      </w:r>
    </w:p>
    <w:p w14:paraId="616E52D1">
      <w:pPr>
        <w:pStyle w:val="14"/>
        <w:numPr>
          <w:ilvl w:val="0"/>
          <w:numId w:val="0"/>
        </w:numPr>
        <w:tabs>
          <w:tab w:val="left" w:pos="824"/>
        </w:tabs>
        <w:spacing w:line="269" w:lineRule="exact"/>
        <w:ind w:left="397" w:leftChars="0"/>
        <w:jc w:val="both"/>
        <w:rPr>
          <w:sz w:val="21"/>
        </w:rPr>
      </w:pPr>
      <w:r>
        <w:rPr>
          <w:rFonts w:hint="default"/>
          <w:spacing w:val="-3"/>
          <w:sz w:val="21"/>
        </w:rPr>
        <w:t>2、</w:t>
      </w:r>
      <w:r>
        <w:rPr>
          <w:spacing w:val="-3"/>
          <w:sz w:val="21"/>
        </w:rPr>
        <w:t>中标人凭以下有效文件与采购人结算：</w:t>
      </w:r>
    </w:p>
    <w:p w14:paraId="0A7039EB">
      <w:pPr>
        <w:pStyle w:val="14"/>
        <w:numPr>
          <w:ilvl w:val="1"/>
          <w:numId w:val="11"/>
        </w:numPr>
        <w:tabs>
          <w:tab w:val="left" w:pos="1353"/>
        </w:tabs>
        <w:spacing w:before="139"/>
        <w:ind w:hanging="530"/>
        <w:rPr>
          <w:sz w:val="21"/>
        </w:rPr>
      </w:pPr>
      <w:r>
        <w:rPr>
          <w:spacing w:val="-2"/>
          <w:sz w:val="21"/>
        </w:rPr>
        <w:t>合同；</w:t>
      </w:r>
    </w:p>
    <w:p w14:paraId="4AE239DA">
      <w:pPr>
        <w:pStyle w:val="14"/>
        <w:numPr>
          <w:ilvl w:val="1"/>
          <w:numId w:val="11"/>
        </w:numPr>
        <w:tabs>
          <w:tab w:val="left" w:pos="1353"/>
        </w:tabs>
        <w:spacing w:before="142"/>
        <w:ind w:hanging="530"/>
        <w:rPr>
          <w:sz w:val="21"/>
        </w:rPr>
      </w:pPr>
      <w:r>
        <w:rPr>
          <w:spacing w:val="-3"/>
          <w:sz w:val="21"/>
        </w:rPr>
        <w:t>中标人开具的正式发票；</w:t>
      </w:r>
    </w:p>
    <w:p w14:paraId="4811C790">
      <w:pPr>
        <w:pStyle w:val="14"/>
        <w:numPr>
          <w:ilvl w:val="1"/>
          <w:numId w:val="11"/>
        </w:numPr>
        <w:tabs>
          <w:tab w:val="left" w:pos="1353"/>
        </w:tabs>
        <w:spacing w:before="139"/>
        <w:ind w:hanging="530"/>
        <w:rPr>
          <w:sz w:val="21"/>
        </w:rPr>
      </w:pPr>
      <w:r>
        <w:rPr>
          <w:spacing w:val="-3"/>
          <w:sz w:val="21"/>
        </w:rPr>
        <w:t>中标通知书；</w:t>
      </w:r>
    </w:p>
    <w:p w14:paraId="347BDDD6">
      <w:pPr>
        <w:pStyle w:val="14"/>
        <w:numPr>
          <w:ilvl w:val="1"/>
          <w:numId w:val="11"/>
        </w:numPr>
        <w:tabs>
          <w:tab w:val="left" w:pos="1353"/>
        </w:tabs>
        <w:spacing w:before="139"/>
        <w:ind w:hanging="530"/>
        <w:rPr>
          <w:sz w:val="21"/>
        </w:rPr>
      </w:pPr>
      <w:r>
        <w:rPr>
          <w:spacing w:val="-3"/>
          <w:sz w:val="21"/>
        </w:rPr>
        <w:t>采购人要求的其他相关结算资料。</w:t>
      </w:r>
    </w:p>
    <w:p w14:paraId="0F1717E2">
      <w:pPr>
        <w:pStyle w:val="14"/>
        <w:keepNext w:val="0"/>
        <w:keepLines w:val="0"/>
        <w:pageBreakBefore w:val="0"/>
        <w:widowControl w:val="0"/>
        <w:numPr>
          <w:ilvl w:val="0"/>
          <w:numId w:val="0"/>
        </w:numPr>
        <w:tabs>
          <w:tab w:val="left" w:pos="1353"/>
        </w:tabs>
        <w:kinsoku/>
        <w:wordWrap/>
        <w:overflowPunct/>
        <w:topLinePunct w:val="0"/>
        <w:autoSpaceDE w:val="0"/>
        <w:autoSpaceDN w:val="0"/>
        <w:bidi w:val="0"/>
        <w:adjustRightInd/>
        <w:snapToGrid/>
        <w:spacing w:before="139" w:line="440" w:lineRule="exact"/>
        <w:ind w:firstLine="408" w:firstLineChars="200"/>
        <w:textAlignment w:val="auto"/>
        <w:rPr>
          <w:spacing w:val="-3"/>
          <w:sz w:val="21"/>
        </w:rPr>
      </w:pPr>
      <w:r>
        <w:rPr>
          <w:rFonts w:hint="eastAsia"/>
          <w:spacing w:val="-3"/>
          <w:sz w:val="21"/>
          <w:lang w:val="en-US" w:eastAsia="zh-CN"/>
        </w:rPr>
        <w:t>3、</w:t>
      </w:r>
      <w:r>
        <w:rPr>
          <w:spacing w:val="-3"/>
          <w:sz w:val="21"/>
        </w:rPr>
        <w:t>因采购人使用的是财政</w:t>
      </w:r>
      <w:r>
        <w:rPr>
          <w:rFonts w:hint="eastAsia"/>
          <w:spacing w:val="-3"/>
          <w:sz w:val="21"/>
          <w:lang w:val="en-US" w:eastAsia="zh-CN"/>
        </w:rPr>
        <w:t>性</w:t>
      </w:r>
      <w:r>
        <w:rPr>
          <w:spacing w:val="-3"/>
          <w:sz w:val="21"/>
        </w:rPr>
        <w:t xml:space="preserve">资金，按照前款规定的付款时间，采购人在收到中标人发票后 </w:t>
      </w:r>
      <w:r>
        <w:rPr>
          <w:sz w:val="21"/>
        </w:rPr>
        <w:t>5 个工作日内向政府采购支付部门提出办理财政支付申请手续（不含政府财政支付部门审核的时间）</w:t>
      </w:r>
      <w:r>
        <w:rPr>
          <w:spacing w:val="-3"/>
          <w:sz w:val="21"/>
        </w:rPr>
        <w:t>，在规定时间内提出支付申请手续后即视为采购人已经按期支付。</w:t>
      </w:r>
    </w:p>
    <w:p w14:paraId="6E2F7BB6">
      <w:pPr>
        <w:pStyle w:val="14"/>
        <w:keepNext w:val="0"/>
        <w:keepLines w:val="0"/>
        <w:pageBreakBefore w:val="0"/>
        <w:widowControl w:val="0"/>
        <w:numPr>
          <w:ilvl w:val="0"/>
          <w:numId w:val="0"/>
        </w:numPr>
        <w:tabs>
          <w:tab w:val="left" w:pos="1353"/>
        </w:tabs>
        <w:kinsoku/>
        <w:wordWrap/>
        <w:overflowPunct/>
        <w:topLinePunct w:val="0"/>
        <w:autoSpaceDE w:val="0"/>
        <w:autoSpaceDN w:val="0"/>
        <w:bidi w:val="0"/>
        <w:adjustRightInd/>
        <w:snapToGrid/>
        <w:spacing w:before="139" w:line="440" w:lineRule="exact"/>
        <w:ind w:firstLine="422" w:firstLineChars="200"/>
        <w:textAlignment w:val="auto"/>
        <w:rPr>
          <w:rFonts w:hint="eastAsia"/>
          <w:spacing w:val="-3"/>
          <w:sz w:val="21"/>
          <w:lang w:val="en-US" w:eastAsia="zh-CN"/>
        </w:rPr>
      </w:pPr>
      <w:r>
        <w:rPr>
          <w:rFonts w:hint="eastAsia" w:ascii="宋体" w:hAnsi="宋体" w:eastAsia="宋体" w:cs="宋体"/>
          <w:b/>
          <w:sz w:val="21"/>
          <w:szCs w:val="22"/>
          <w:lang w:val="en-US" w:eastAsia="zh-CN" w:bidi="zh-CN"/>
        </w:rPr>
        <w:t>五、</w:t>
      </w:r>
      <w:r>
        <w:rPr>
          <w:rFonts w:hint="eastAsia"/>
          <w:spacing w:val="-3"/>
          <w:sz w:val="21"/>
          <w:lang w:val="en-US" w:eastAsia="zh-CN"/>
        </w:rPr>
        <w:t>评标委员会认为投标人的报价低于本项目最高限额报价的60%，有可能影响产品质量或者不能诚信履约，要求投标人提供书面说明和相关证明材料，如未提供，评标委员会应当将其价格得分作为0分处理。（书面说明包含但不限于：报价成本分析报告、各项人工服务成本、项目实施成本、税费、利润等的详细说明。）</w:t>
      </w:r>
      <w:bookmarkStart w:id="9" w:name="_GoBack"/>
      <w:bookmarkEnd w:id="9"/>
    </w:p>
    <w:p w14:paraId="0EBFA2B3">
      <w:pPr>
        <w:pStyle w:val="14"/>
        <w:widowControl w:val="0"/>
        <w:numPr>
          <w:ilvl w:val="0"/>
          <w:numId w:val="0"/>
        </w:numPr>
        <w:tabs>
          <w:tab w:val="left" w:pos="824"/>
        </w:tabs>
        <w:autoSpaceDE w:val="0"/>
        <w:autoSpaceDN w:val="0"/>
        <w:spacing w:before="139" w:line="364" w:lineRule="auto"/>
        <w:ind w:right="451" w:rightChars="0"/>
        <w:jc w:val="both"/>
        <w:rPr>
          <w:spacing w:val="-3"/>
          <w:sz w:val="21"/>
        </w:rPr>
      </w:pPr>
    </w:p>
    <w:p w14:paraId="174CA5B4">
      <w:pPr>
        <w:pStyle w:val="14"/>
        <w:widowControl w:val="0"/>
        <w:numPr>
          <w:ilvl w:val="0"/>
          <w:numId w:val="0"/>
        </w:numPr>
        <w:tabs>
          <w:tab w:val="left" w:pos="824"/>
        </w:tabs>
        <w:autoSpaceDE w:val="0"/>
        <w:autoSpaceDN w:val="0"/>
        <w:spacing w:before="139" w:line="364" w:lineRule="auto"/>
        <w:ind w:right="451" w:rightChars="0"/>
        <w:jc w:val="both"/>
        <w:rPr>
          <w:spacing w:val="-3"/>
          <w:sz w:val="21"/>
        </w:rPr>
      </w:pPr>
    </w:p>
    <w:p w14:paraId="74D57AB2">
      <w:pPr>
        <w:pStyle w:val="14"/>
        <w:widowControl w:val="0"/>
        <w:numPr>
          <w:ilvl w:val="0"/>
          <w:numId w:val="0"/>
        </w:numPr>
        <w:tabs>
          <w:tab w:val="left" w:pos="824"/>
        </w:tabs>
        <w:autoSpaceDE w:val="0"/>
        <w:autoSpaceDN w:val="0"/>
        <w:spacing w:before="139" w:line="364" w:lineRule="auto"/>
        <w:ind w:right="451" w:rightChars="0"/>
        <w:jc w:val="both"/>
        <w:rPr>
          <w:spacing w:val="-3"/>
          <w:sz w:val="21"/>
        </w:rPr>
      </w:pPr>
    </w:p>
    <w:p w14:paraId="28E5D89D">
      <w:pPr>
        <w:pStyle w:val="3"/>
        <w:ind w:left="836"/>
      </w:pPr>
    </w:p>
    <w:p w14:paraId="495A63C2">
      <w:pPr>
        <w:pStyle w:val="3"/>
        <w:ind w:left="836"/>
      </w:pPr>
    </w:p>
    <w:p w14:paraId="4F49F520">
      <w:pPr>
        <w:pStyle w:val="3"/>
        <w:ind w:left="836"/>
      </w:pPr>
    </w:p>
    <w:p w14:paraId="33F59FD5">
      <w:pPr>
        <w:pStyle w:val="3"/>
        <w:ind w:left="836"/>
      </w:pPr>
    </w:p>
    <w:p w14:paraId="0571690A">
      <w:pPr>
        <w:pStyle w:val="3"/>
        <w:ind w:left="836"/>
      </w:pPr>
    </w:p>
    <w:p w14:paraId="477B448C">
      <w:pPr>
        <w:pStyle w:val="3"/>
        <w:ind w:left="836"/>
      </w:pPr>
    </w:p>
    <w:p w14:paraId="11ED0CC0">
      <w:pPr>
        <w:pStyle w:val="3"/>
        <w:ind w:left="836"/>
      </w:pPr>
    </w:p>
    <w:p w14:paraId="7D9CFFF6">
      <w:pPr>
        <w:pStyle w:val="3"/>
        <w:ind w:left="836"/>
      </w:pPr>
    </w:p>
    <w:p w14:paraId="76A765CE">
      <w:pPr>
        <w:pStyle w:val="3"/>
        <w:ind w:left="836"/>
      </w:pPr>
      <w:r>
        <w:t>第</w:t>
      </w:r>
      <w:r>
        <w:rPr>
          <w:rFonts w:hint="eastAsia"/>
          <w:lang w:val="en-US" w:eastAsia="zh-Hans"/>
        </w:rPr>
        <w:t>四</w:t>
      </w:r>
      <w:r>
        <w:t>章 合同文本</w:t>
      </w:r>
    </w:p>
    <w:p w14:paraId="771B8AD6">
      <w:pPr>
        <w:sectPr>
          <w:pgSz w:w="11910" w:h="16840"/>
          <w:pgMar w:top="1360" w:right="1340" w:bottom="1420" w:left="1020" w:header="567" w:footer="1216" w:gutter="0"/>
          <w:pgNumType w:fmt="decimal"/>
          <w:cols w:space="720" w:num="1"/>
        </w:sectPr>
      </w:pPr>
    </w:p>
    <w:p w14:paraId="3CE2E21B">
      <w:pPr>
        <w:pStyle w:val="5"/>
        <w:spacing w:before="9"/>
        <w:rPr>
          <w:b/>
          <w:sz w:val="14"/>
        </w:rPr>
      </w:pPr>
    </w:p>
    <w:tbl>
      <w:tblPr>
        <w:tblStyle w:val="10"/>
        <w:tblW w:w="0" w:type="auto"/>
        <w:tblInd w:w="356" w:type="dxa"/>
        <w:tblLayout w:type="fixed"/>
        <w:tblCellMar>
          <w:top w:w="0" w:type="dxa"/>
          <w:left w:w="0" w:type="dxa"/>
          <w:bottom w:w="0" w:type="dxa"/>
          <w:right w:w="0" w:type="dxa"/>
        </w:tblCellMar>
      </w:tblPr>
      <w:tblGrid>
        <w:gridCol w:w="471"/>
        <w:gridCol w:w="1997"/>
        <w:gridCol w:w="414"/>
        <w:gridCol w:w="1691"/>
        <w:gridCol w:w="4527"/>
      </w:tblGrid>
      <w:tr w14:paraId="2E1D385E">
        <w:tblPrEx>
          <w:tblCellMar>
            <w:top w:w="0" w:type="dxa"/>
            <w:left w:w="0" w:type="dxa"/>
            <w:bottom w:w="0" w:type="dxa"/>
            <w:right w:w="0" w:type="dxa"/>
          </w:tblCellMar>
        </w:tblPrEx>
        <w:trPr>
          <w:trHeight w:val="339" w:hRule="atLeast"/>
        </w:trPr>
        <w:tc>
          <w:tcPr>
            <w:tcW w:w="471" w:type="dxa"/>
            <w:noWrap w:val="0"/>
            <w:vAlign w:val="top"/>
          </w:tcPr>
          <w:p w14:paraId="503D2FAB">
            <w:pPr>
              <w:pStyle w:val="15"/>
              <w:spacing w:line="241" w:lineRule="exact"/>
              <w:ind w:left="50"/>
              <w:rPr>
                <w:b/>
                <w:sz w:val="21"/>
              </w:rPr>
            </w:pPr>
            <w:r>
              <w:rPr>
                <w:b/>
                <w:sz w:val="21"/>
              </w:rPr>
              <w:t>甲</w:t>
            </w:r>
          </w:p>
        </w:tc>
        <w:tc>
          <w:tcPr>
            <w:tcW w:w="1997" w:type="dxa"/>
            <w:noWrap w:val="0"/>
            <w:vAlign w:val="top"/>
          </w:tcPr>
          <w:p w14:paraId="5DA92CCE">
            <w:pPr>
              <w:pStyle w:val="15"/>
              <w:spacing w:line="241" w:lineRule="exact"/>
              <w:ind w:left="212"/>
              <w:rPr>
                <w:b/>
                <w:sz w:val="21"/>
              </w:rPr>
            </w:pPr>
            <w:r>
              <w:rPr>
                <w:b/>
                <w:sz w:val="21"/>
              </w:rPr>
              <w:t>方</w:t>
            </w:r>
            <w:r>
              <w:rPr>
                <w:sz w:val="21"/>
              </w:rPr>
              <w:t>（采购人）</w:t>
            </w:r>
            <w:r>
              <w:rPr>
                <w:b/>
                <w:sz w:val="21"/>
              </w:rPr>
              <w:t>：</w:t>
            </w:r>
          </w:p>
        </w:tc>
        <w:tc>
          <w:tcPr>
            <w:tcW w:w="6632" w:type="dxa"/>
            <w:gridSpan w:val="3"/>
            <w:noWrap w:val="0"/>
            <w:vAlign w:val="center"/>
          </w:tcPr>
          <w:p w14:paraId="3F75FAC7">
            <w:pPr>
              <w:pStyle w:val="15"/>
              <w:jc w:val="center"/>
              <w:rPr>
                <w:rFonts w:hint="eastAsia" w:ascii="Times New Roman" w:eastAsia="宋体"/>
                <w:sz w:val="20"/>
                <w:lang w:eastAsia="zh-CN"/>
              </w:rPr>
            </w:pPr>
            <w:r>
              <w:rPr>
                <w:rFonts w:hint="eastAsia" w:ascii="Times New Roman"/>
                <w:sz w:val="20"/>
              </w:rPr>
              <w:t>广州</w:t>
            </w:r>
            <w:r>
              <w:rPr>
                <w:rFonts w:hint="eastAsia" w:ascii="Times New Roman"/>
                <w:sz w:val="20"/>
                <w:lang w:eastAsia="zh-CN"/>
              </w:rPr>
              <w:t>医科大学附属妇女儿童医疗中心</w:t>
            </w:r>
          </w:p>
        </w:tc>
      </w:tr>
      <w:tr w14:paraId="282F100F">
        <w:tblPrEx>
          <w:tblCellMar>
            <w:top w:w="0" w:type="dxa"/>
            <w:left w:w="0" w:type="dxa"/>
            <w:bottom w:w="0" w:type="dxa"/>
            <w:right w:w="0" w:type="dxa"/>
          </w:tblCellMar>
        </w:tblPrEx>
        <w:trPr>
          <w:trHeight w:val="468" w:hRule="atLeast"/>
        </w:trPr>
        <w:tc>
          <w:tcPr>
            <w:tcW w:w="471" w:type="dxa"/>
            <w:noWrap w:val="0"/>
            <w:vAlign w:val="top"/>
          </w:tcPr>
          <w:p w14:paraId="5E07618B">
            <w:pPr>
              <w:pStyle w:val="15"/>
              <w:spacing w:before="100"/>
              <w:ind w:left="50"/>
              <w:rPr>
                <w:sz w:val="21"/>
              </w:rPr>
            </w:pPr>
            <w:r>
              <w:rPr>
                <w:sz w:val="21"/>
              </w:rPr>
              <w:t>电</w:t>
            </w:r>
          </w:p>
        </w:tc>
        <w:tc>
          <w:tcPr>
            <w:tcW w:w="1997" w:type="dxa"/>
            <w:noWrap w:val="0"/>
            <w:vAlign w:val="top"/>
          </w:tcPr>
          <w:p w14:paraId="7F7D7238">
            <w:pPr>
              <w:pStyle w:val="15"/>
              <w:spacing w:before="100"/>
              <w:ind w:left="210"/>
              <w:rPr>
                <w:sz w:val="21"/>
              </w:rPr>
            </w:pPr>
            <w:r>
              <w:rPr>
                <w:sz w:val="21"/>
              </w:rPr>
              <w:t>话：</w:t>
            </w:r>
          </w:p>
        </w:tc>
        <w:tc>
          <w:tcPr>
            <w:tcW w:w="414" w:type="dxa"/>
            <w:noWrap w:val="0"/>
            <w:vAlign w:val="top"/>
          </w:tcPr>
          <w:p w14:paraId="6EDFED5C">
            <w:pPr>
              <w:pStyle w:val="15"/>
              <w:spacing w:before="100"/>
              <w:ind w:right="102"/>
              <w:jc w:val="right"/>
              <w:rPr>
                <w:sz w:val="21"/>
              </w:rPr>
            </w:pPr>
            <w:r>
              <w:rPr>
                <w:sz w:val="21"/>
              </w:rPr>
              <w:t>传</w:t>
            </w:r>
          </w:p>
        </w:tc>
        <w:tc>
          <w:tcPr>
            <w:tcW w:w="1691" w:type="dxa"/>
            <w:noWrap w:val="0"/>
            <w:vAlign w:val="top"/>
          </w:tcPr>
          <w:p w14:paraId="4ABC4725">
            <w:pPr>
              <w:pStyle w:val="15"/>
              <w:spacing w:before="100"/>
              <w:ind w:left="104"/>
              <w:rPr>
                <w:sz w:val="21"/>
              </w:rPr>
            </w:pPr>
            <w:r>
              <w:rPr>
                <w:sz w:val="21"/>
              </w:rPr>
              <w:t>真：</w:t>
            </w:r>
          </w:p>
        </w:tc>
        <w:tc>
          <w:tcPr>
            <w:tcW w:w="4527" w:type="dxa"/>
            <w:noWrap w:val="0"/>
            <w:vAlign w:val="top"/>
          </w:tcPr>
          <w:p w14:paraId="639CB0A9">
            <w:pPr>
              <w:pStyle w:val="15"/>
              <w:tabs>
                <w:tab w:val="left" w:pos="422"/>
              </w:tabs>
              <w:spacing w:before="100"/>
              <w:ind w:right="46"/>
              <w:jc w:val="left"/>
              <w:rPr>
                <w:sz w:val="21"/>
              </w:rPr>
            </w:pPr>
            <w:r>
              <w:rPr>
                <w:sz w:val="21"/>
              </w:rPr>
              <w:t>地</w:t>
            </w:r>
            <w:r>
              <w:rPr>
                <w:sz w:val="21"/>
              </w:rPr>
              <w:tab/>
            </w:r>
            <w:r>
              <w:rPr>
                <w:spacing w:val="-3"/>
                <w:sz w:val="21"/>
              </w:rPr>
              <w:t>址：</w:t>
            </w:r>
          </w:p>
        </w:tc>
      </w:tr>
      <w:tr w14:paraId="21AF15EF">
        <w:tblPrEx>
          <w:tblCellMar>
            <w:top w:w="0" w:type="dxa"/>
            <w:left w:w="0" w:type="dxa"/>
            <w:bottom w:w="0" w:type="dxa"/>
            <w:right w:w="0" w:type="dxa"/>
          </w:tblCellMar>
        </w:tblPrEx>
        <w:trPr>
          <w:trHeight w:val="467" w:hRule="atLeast"/>
        </w:trPr>
        <w:tc>
          <w:tcPr>
            <w:tcW w:w="471" w:type="dxa"/>
            <w:noWrap w:val="0"/>
            <w:vAlign w:val="top"/>
          </w:tcPr>
          <w:p w14:paraId="3387FB8E">
            <w:pPr>
              <w:pStyle w:val="15"/>
              <w:spacing w:before="100"/>
              <w:ind w:left="50"/>
              <w:rPr>
                <w:b/>
                <w:sz w:val="21"/>
              </w:rPr>
            </w:pPr>
            <w:r>
              <w:rPr>
                <w:b/>
                <w:sz w:val="21"/>
              </w:rPr>
              <w:t>乙</w:t>
            </w:r>
          </w:p>
        </w:tc>
        <w:tc>
          <w:tcPr>
            <w:tcW w:w="1997" w:type="dxa"/>
            <w:noWrap w:val="0"/>
            <w:vAlign w:val="top"/>
          </w:tcPr>
          <w:p w14:paraId="74B6A8F8">
            <w:pPr>
              <w:pStyle w:val="15"/>
              <w:spacing w:before="100"/>
              <w:ind w:left="212"/>
              <w:rPr>
                <w:b/>
                <w:sz w:val="21"/>
              </w:rPr>
            </w:pPr>
            <w:r>
              <w:rPr>
                <w:b/>
                <w:sz w:val="21"/>
              </w:rPr>
              <w:t>方</w:t>
            </w:r>
            <w:r>
              <w:rPr>
                <w:sz w:val="21"/>
              </w:rPr>
              <w:t>（中标人）</w:t>
            </w:r>
            <w:r>
              <w:rPr>
                <w:b/>
                <w:sz w:val="21"/>
              </w:rPr>
              <w:t>：</w:t>
            </w:r>
          </w:p>
        </w:tc>
        <w:tc>
          <w:tcPr>
            <w:tcW w:w="6632" w:type="dxa"/>
            <w:gridSpan w:val="3"/>
            <w:noWrap w:val="0"/>
            <w:vAlign w:val="center"/>
          </w:tcPr>
          <w:p w14:paraId="65486074">
            <w:pPr>
              <w:pStyle w:val="15"/>
              <w:jc w:val="left"/>
              <w:rPr>
                <w:rFonts w:ascii="Times New Roman"/>
                <w:sz w:val="20"/>
                <w:lang w:val="en-US"/>
              </w:rPr>
            </w:pPr>
          </w:p>
        </w:tc>
      </w:tr>
      <w:tr w14:paraId="38C49BFD">
        <w:tblPrEx>
          <w:tblCellMar>
            <w:top w:w="0" w:type="dxa"/>
            <w:left w:w="0" w:type="dxa"/>
            <w:bottom w:w="0" w:type="dxa"/>
            <w:right w:w="0" w:type="dxa"/>
          </w:tblCellMar>
        </w:tblPrEx>
        <w:trPr>
          <w:trHeight w:val="339" w:hRule="atLeast"/>
        </w:trPr>
        <w:tc>
          <w:tcPr>
            <w:tcW w:w="471" w:type="dxa"/>
            <w:noWrap w:val="0"/>
            <w:vAlign w:val="top"/>
          </w:tcPr>
          <w:p w14:paraId="7BD5BF8F">
            <w:pPr>
              <w:pStyle w:val="15"/>
              <w:spacing w:before="100" w:line="220" w:lineRule="exact"/>
              <w:ind w:left="50"/>
              <w:rPr>
                <w:sz w:val="21"/>
              </w:rPr>
            </w:pPr>
            <w:r>
              <w:rPr>
                <w:sz w:val="21"/>
              </w:rPr>
              <w:t>电</w:t>
            </w:r>
          </w:p>
        </w:tc>
        <w:tc>
          <w:tcPr>
            <w:tcW w:w="1997" w:type="dxa"/>
            <w:noWrap w:val="0"/>
            <w:vAlign w:val="top"/>
          </w:tcPr>
          <w:p w14:paraId="6FA1C47A">
            <w:pPr>
              <w:pStyle w:val="15"/>
              <w:spacing w:before="100" w:line="220" w:lineRule="exact"/>
              <w:ind w:left="210"/>
              <w:rPr>
                <w:sz w:val="21"/>
              </w:rPr>
            </w:pPr>
            <w:r>
              <w:rPr>
                <w:sz w:val="21"/>
              </w:rPr>
              <w:t>话：</w:t>
            </w:r>
          </w:p>
        </w:tc>
        <w:tc>
          <w:tcPr>
            <w:tcW w:w="414" w:type="dxa"/>
            <w:noWrap w:val="0"/>
            <w:vAlign w:val="top"/>
          </w:tcPr>
          <w:p w14:paraId="4FE909FE">
            <w:pPr>
              <w:pStyle w:val="15"/>
              <w:spacing w:before="100" w:line="220" w:lineRule="exact"/>
              <w:ind w:right="102"/>
              <w:jc w:val="right"/>
              <w:rPr>
                <w:sz w:val="21"/>
              </w:rPr>
            </w:pPr>
            <w:r>
              <w:rPr>
                <w:sz w:val="21"/>
              </w:rPr>
              <w:t>传</w:t>
            </w:r>
          </w:p>
        </w:tc>
        <w:tc>
          <w:tcPr>
            <w:tcW w:w="1691" w:type="dxa"/>
            <w:noWrap w:val="0"/>
            <w:vAlign w:val="top"/>
          </w:tcPr>
          <w:p w14:paraId="4BD5B3DB">
            <w:pPr>
              <w:pStyle w:val="15"/>
              <w:spacing w:before="100" w:line="220" w:lineRule="exact"/>
              <w:ind w:left="104"/>
              <w:rPr>
                <w:sz w:val="21"/>
              </w:rPr>
            </w:pPr>
            <w:r>
              <w:rPr>
                <w:sz w:val="21"/>
              </w:rPr>
              <w:t>真：</w:t>
            </w:r>
          </w:p>
        </w:tc>
        <w:tc>
          <w:tcPr>
            <w:tcW w:w="4527" w:type="dxa"/>
            <w:noWrap w:val="0"/>
            <w:vAlign w:val="top"/>
          </w:tcPr>
          <w:p w14:paraId="5B8A4A1C">
            <w:pPr>
              <w:pStyle w:val="15"/>
              <w:tabs>
                <w:tab w:val="left" w:pos="422"/>
              </w:tabs>
              <w:spacing w:before="100" w:line="220" w:lineRule="exact"/>
              <w:ind w:right="46"/>
              <w:jc w:val="left"/>
              <w:rPr>
                <w:sz w:val="21"/>
              </w:rPr>
            </w:pPr>
            <w:r>
              <w:rPr>
                <w:sz w:val="21"/>
              </w:rPr>
              <w:t>地</w:t>
            </w:r>
            <w:r>
              <w:rPr>
                <w:sz w:val="21"/>
              </w:rPr>
              <w:tab/>
            </w:r>
            <w:r>
              <w:rPr>
                <w:spacing w:val="-3"/>
                <w:sz w:val="21"/>
              </w:rPr>
              <w:t>址：</w:t>
            </w:r>
          </w:p>
        </w:tc>
      </w:tr>
    </w:tbl>
    <w:p w14:paraId="5B73E761">
      <w:pPr>
        <w:pStyle w:val="5"/>
        <w:spacing w:before="3"/>
        <w:rPr>
          <w:b/>
          <w:sz w:val="12"/>
        </w:rPr>
      </w:pPr>
    </w:p>
    <w:p w14:paraId="765767D3">
      <w:pPr>
        <w:pStyle w:val="5"/>
        <w:tabs>
          <w:tab w:val="left" w:pos="5124"/>
        </w:tabs>
        <w:spacing w:before="71"/>
        <w:ind w:left="398"/>
        <w:jc w:val="both"/>
      </w:pPr>
      <w:r>
        <w:t>项目</w:t>
      </w:r>
      <w:r>
        <w:rPr>
          <w:spacing w:val="-3"/>
        </w:rPr>
        <w:t>名</w:t>
      </w:r>
      <w:r>
        <w:t>称：</w:t>
      </w:r>
      <w:r>
        <w:tab/>
      </w:r>
      <w:r>
        <w:t>项目</w:t>
      </w:r>
      <w:r>
        <w:rPr>
          <w:spacing w:val="-3"/>
        </w:rPr>
        <w:t>编</w:t>
      </w:r>
      <w:r>
        <w:t>号：</w:t>
      </w:r>
    </w:p>
    <w:p w14:paraId="6C0AD32B">
      <w:pPr>
        <w:pStyle w:val="5"/>
        <w:spacing w:before="7"/>
        <w:rPr>
          <w:sz w:val="15"/>
        </w:rPr>
      </w:pPr>
    </w:p>
    <w:p w14:paraId="20BE79D0">
      <w:pPr>
        <w:pStyle w:val="5"/>
        <w:tabs>
          <w:tab w:val="left" w:pos="3034"/>
        </w:tabs>
        <w:spacing w:line="417" w:lineRule="auto"/>
        <w:ind w:left="398" w:right="766" w:firstLine="420"/>
        <w:jc w:val="both"/>
      </w:pPr>
      <w:r>
        <w:t>根据</w:t>
      </w:r>
      <w:r>
        <w:rPr>
          <w:rFonts w:hint="eastAsia"/>
          <w:highlight w:val="none"/>
        </w:rPr>
        <w:t>2024年广州医科大学附属妇女儿童医疗中心官网升级改版项目</w:t>
      </w:r>
      <w:r>
        <w:t>的采购结果，按照《</w:t>
      </w:r>
      <w:r>
        <w:rPr>
          <w:spacing w:val="-3"/>
        </w:rPr>
        <w:t>中</w:t>
      </w:r>
      <w:r>
        <w:t>华</w:t>
      </w:r>
      <w:r>
        <w:rPr>
          <w:spacing w:val="-3"/>
        </w:rPr>
        <w:t>人</w:t>
      </w:r>
      <w:r>
        <w:t>民</w:t>
      </w:r>
      <w:r>
        <w:rPr>
          <w:spacing w:val="-3"/>
        </w:rPr>
        <w:t>共</w:t>
      </w:r>
      <w:r>
        <w:t>和</w:t>
      </w:r>
      <w:r>
        <w:rPr>
          <w:spacing w:val="-3"/>
        </w:rPr>
        <w:t>国</w:t>
      </w:r>
      <w:r>
        <w:t>民法</w:t>
      </w:r>
      <w:r>
        <w:rPr>
          <w:spacing w:val="-3"/>
        </w:rPr>
        <w:t>典</w:t>
      </w:r>
      <w:r>
        <w:rPr>
          <w:spacing w:val="-48"/>
        </w:rPr>
        <w:t>》</w:t>
      </w:r>
      <w:r>
        <w:rPr>
          <w:spacing w:val="-3"/>
        </w:rPr>
        <w:t>的</w:t>
      </w:r>
      <w:r>
        <w:t>规定</w:t>
      </w:r>
      <w:r>
        <w:rPr>
          <w:spacing w:val="-51"/>
        </w:rPr>
        <w:t>，</w:t>
      </w:r>
      <w:r>
        <w:t>经</w:t>
      </w:r>
      <w:r>
        <w:rPr>
          <w:spacing w:val="-3"/>
        </w:rPr>
        <w:t>双</w:t>
      </w:r>
      <w:r>
        <w:t>方</w:t>
      </w:r>
      <w:r>
        <w:rPr>
          <w:spacing w:val="-3"/>
        </w:rPr>
        <w:t>协</w:t>
      </w:r>
      <w:r>
        <w:t>商</w:t>
      </w:r>
      <w:r>
        <w:rPr>
          <w:spacing w:val="-49"/>
        </w:rPr>
        <w:t>，</w:t>
      </w:r>
      <w:r>
        <w:rPr>
          <w:spacing w:val="-3"/>
        </w:rPr>
        <w:t>本</w:t>
      </w:r>
      <w:r>
        <w:t>着</w:t>
      </w:r>
      <w:r>
        <w:rPr>
          <w:spacing w:val="-3"/>
        </w:rPr>
        <w:t>平</w:t>
      </w:r>
      <w:r>
        <w:t>等</w:t>
      </w:r>
      <w:r>
        <w:rPr>
          <w:spacing w:val="-3"/>
        </w:rPr>
        <w:t>互</w:t>
      </w:r>
      <w:r>
        <w:t>利</w:t>
      </w:r>
      <w:r>
        <w:rPr>
          <w:spacing w:val="-3"/>
        </w:rPr>
        <w:t>和</w:t>
      </w:r>
      <w:r>
        <w:t>诚</w:t>
      </w:r>
      <w:r>
        <w:rPr>
          <w:spacing w:val="-3"/>
        </w:rPr>
        <w:t>实</w:t>
      </w:r>
      <w:r>
        <w:t>信用</w:t>
      </w:r>
      <w:r>
        <w:rPr>
          <w:spacing w:val="-3"/>
        </w:rPr>
        <w:t>的</w:t>
      </w:r>
      <w:r>
        <w:t>原</w:t>
      </w:r>
      <w:r>
        <w:rPr>
          <w:spacing w:val="-3"/>
        </w:rPr>
        <w:t>则</w:t>
      </w:r>
      <w:r>
        <w:t>， 一致</w:t>
      </w:r>
      <w:r>
        <w:rPr>
          <w:spacing w:val="-3"/>
        </w:rPr>
        <w:t>同</w:t>
      </w:r>
      <w:r>
        <w:t>意</w:t>
      </w:r>
      <w:r>
        <w:rPr>
          <w:spacing w:val="-3"/>
        </w:rPr>
        <w:t>签</w:t>
      </w:r>
      <w:r>
        <w:t>订</w:t>
      </w:r>
      <w:r>
        <w:rPr>
          <w:spacing w:val="-3"/>
        </w:rPr>
        <w:t>本</w:t>
      </w:r>
      <w:r>
        <w:t>合</w:t>
      </w:r>
      <w:r>
        <w:rPr>
          <w:spacing w:val="-3"/>
        </w:rPr>
        <w:t>同</w:t>
      </w:r>
      <w:r>
        <w:t>如</w:t>
      </w:r>
      <w:r>
        <w:rPr>
          <w:spacing w:val="-3"/>
        </w:rPr>
        <w:t>下</w:t>
      </w:r>
      <w:r>
        <w:t>。</w:t>
      </w:r>
    </w:p>
    <w:p w14:paraId="750C9FD3">
      <w:pPr>
        <w:spacing w:line="269" w:lineRule="exact"/>
        <w:ind w:left="398"/>
        <w:jc w:val="both"/>
        <w:rPr>
          <w:b/>
          <w:sz w:val="21"/>
        </w:rPr>
      </w:pPr>
      <w:r>
        <w:rPr>
          <w:b/>
          <w:spacing w:val="9"/>
          <w:sz w:val="21"/>
        </w:rPr>
        <w:t>一、   合同金额</w:t>
      </w:r>
    </w:p>
    <w:p w14:paraId="47F9942C">
      <w:pPr>
        <w:pStyle w:val="5"/>
        <w:spacing w:before="7"/>
        <w:rPr>
          <w:b/>
          <w:sz w:val="15"/>
        </w:rPr>
      </w:pPr>
    </w:p>
    <w:p w14:paraId="7A087CB7">
      <w:pPr>
        <w:tabs>
          <w:tab w:val="left" w:pos="1238"/>
          <w:tab w:val="left" w:pos="4704"/>
          <w:tab w:val="left" w:pos="6910"/>
        </w:tabs>
        <w:spacing w:line="348" w:lineRule="auto"/>
        <w:ind w:left="398" w:right="2002" w:firstLine="420"/>
        <w:rPr>
          <w:b/>
          <w:sz w:val="21"/>
        </w:rPr>
      </w:pPr>
      <w:r>
        <w:rPr>
          <w:sz w:val="21"/>
        </w:rPr>
        <w:t>合同</w:t>
      </w:r>
      <w:r>
        <w:rPr>
          <w:spacing w:val="-3"/>
          <w:sz w:val="21"/>
        </w:rPr>
        <w:t>金</w:t>
      </w:r>
      <w:r>
        <w:rPr>
          <w:sz w:val="21"/>
        </w:rPr>
        <w:t>额</w:t>
      </w:r>
      <w:r>
        <w:rPr>
          <w:spacing w:val="-3"/>
          <w:sz w:val="21"/>
        </w:rPr>
        <w:t>为</w:t>
      </w:r>
      <w:r>
        <w:rPr>
          <w:sz w:val="21"/>
        </w:rPr>
        <w:t>（</w:t>
      </w:r>
      <w:r>
        <w:rPr>
          <w:spacing w:val="-3"/>
          <w:sz w:val="21"/>
        </w:rPr>
        <w:t>大</w:t>
      </w:r>
      <w:r>
        <w:rPr>
          <w:sz w:val="21"/>
        </w:rPr>
        <w:t>写）：</w:t>
      </w:r>
      <w:r>
        <w:rPr>
          <w:sz w:val="21"/>
          <w:u w:val="single"/>
        </w:rPr>
        <w:t xml:space="preserve"> </w:t>
      </w:r>
      <w:r>
        <w:rPr>
          <w:sz w:val="21"/>
          <w:u w:val="single"/>
        </w:rPr>
        <w:tab/>
      </w:r>
      <w:r>
        <w:rPr>
          <w:sz w:val="21"/>
        </w:rPr>
        <w:t>元（￥</w:t>
      </w:r>
      <w:r>
        <w:rPr>
          <w:sz w:val="21"/>
          <w:u w:val="single"/>
        </w:rPr>
        <w:t xml:space="preserve"> </w:t>
      </w:r>
      <w:r>
        <w:rPr>
          <w:sz w:val="21"/>
          <w:u w:val="single"/>
        </w:rPr>
        <w:tab/>
      </w:r>
      <w:r>
        <w:rPr>
          <w:spacing w:val="-3"/>
          <w:sz w:val="21"/>
        </w:rPr>
        <w:t>元</w:t>
      </w:r>
      <w:r>
        <w:rPr>
          <w:sz w:val="21"/>
        </w:rPr>
        <w:t>）</w:t>
      </w:r>
      <w:r>
        <w:rPr>
          <w:spacing w:val="-17"/>
          <w:sz w:val="21"/>
        </w:rPr>
        <w:t>。</w:t>
      </w:r>
      <w:r>
        <w:rPr>
          <w:b/>
          <w:sz w:val="21"/>
        </w:rPr>
        <w:t>二、</w:t>
      </w:r>
      <w:r>
        <w:rPr>
          <w:b/>
          <w:sz w:val="21"/>
        </w:rPr>
        <w:tab/>
      </w:r>
      <w:r>
        <w:rPr>
          <w:b/>
          <w:sz w:val="21"/>
          <w:highlight w:val="yellow"/>
        </w:rPr>
        <w:t>项目内容</w:t>
      </w:r>
    </w:p>
    <w:p w14:paraId="5EF223AE">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bCs w:val="0"/>
          <w:sz w:val="21"/>
        </w:rPr>
      </w:pPr>
      <w:r>
        <w:rPr>
          <w:rFonts w:hint="default"/>
          <w:b/>
          <w:bCs w:val="0"/>
          <w:sz w:val="21"/>
        </w:rPr>
        <w:t>（</w:t>
      </w:r>
      <w:r>
        <w:rPr>
          <w:rFonts w:hint="eastAsia"/>
          <w:b/>
          <w:bCs w:val="0"/>
          <w:sz w:val="21"/>
        </w:rPr>
        <w:t>1</w:t>
      </w:r>
      <w:r>
        <w:rPr>
          <w:rFonts w:hint="default"/>
          <w:b/>
          <w:bCs w:val="0"/>
          <w:sz w:val="21"/>
        </w:rPr>
        <w:t>）</w:t>
      </w:r>
      <w:r>
        <w:rPr>
          <w:rFonts w:hint="eastAsia"/>
          <w:b/>
          <w:bCs w:val="0"/>
          <w:sz w:val="21"/>
        </w:rPr>
        <w:t>网站功能技术要求：</w:t>
      </w:r>
    </w:p>
    <w:tbl>
      <w:tblPr>
        <w:tblStyle w:val="10"/>
        <w:tblW w:w="9100" w:type="dxa"/>
        <w:tblCellSpacing w:w="0" w:type="dxa"/>
        <w:tblInd w:w="384" w:type="dxa"/>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shd w:val="clear" w:color="auto" w:fill="FFFFFF"/>
        <w:tblLayout w:type="fixed"/>
        <w:tblCellMar>
          <w:top w:w="0" w:type="dxa"/>
          <w:left w:w="0" w:type="dxa"/>
          <w:bottom w:w="0" w:type="dxa"/>
          <w:right w:w="0" w:type="dxa"/>
        </w:tblCellMar>
      </w:tblPr>
      <w:tblGrid>
        <w:gridCol w:w="1419"/>
        <w:gridCol w:w="7681"/>
      </w:tblGrid>
      <w:tr w14:paraId="7E6B35AA">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shd w:val="clear" w:color="auto" w:fill="FFFFFF"/>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5B577690">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平台适配</w:t>
            </w:r>
          </w:p>
        </w:tc>
        <w:tc>
          <w:tcPr>
            <w:tcW w:w="7681" w:type="dxa"/>
            <w:tcBorders>
              <w:tl2br w:val="nil"/>
              <w:tr2bl w:val="nil"/>
            </w:tcBorders>
            <w:shd w:val="clear" w:color="auto" w:fill="FFFFFF"/>
            <w:vAlign w:val="center"/>
          </w:tcPr>
          <w:p w14:paraId="5099412F">
            <w:p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▲应确保主站和子站在同一域名、同一后台、同一数据库、同一套系统的基础上运行。当不同设备（</w:t>
            </w:r>
            <w:r>
              <w:rPr>
                <w:rFonts w:ascii="宋体" w:hAnsi="宋体" w:eastAsia="宋体" w:cs="宋体"/>
                <w:kern w:val="0"/>
                <w:sz w:val="21"/>
                <w:szCs w:val="21"/>
              </w:rPr>
              <w:t>PC、手机、平板）访问网站前台时，系统应能够根据设备类型自动调整显示界面，确保不同设备的访问用户都能获得最佳的体验。</w:t>
            </w:r>
          </w:p>
          <w:p w14:paraId="35FFA191">
            <w:p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▲应支持</w:t>
            </w:r>
            <w:r>
              <w:rPr>
                <w:rFonts w:ascii="宋体" w:hAnsi="宋体" w:eastAsia="宋体" w:cs="宋体"/>
                <w:kern w:val="0"/>
                <w:sz w:val="21"/>
                <w:szCs w:val="21"/>
              </w:rPr>
              <w:t>IOS、Android等主流移动操作系统，覆盖华为、荣耀、小米、VIVO、OPPO、苹果等主流品牌机型，并设计个性化的移动门户模板，实现移动平台的全面覆盖。</w:t>
            </w:r>
          </w:p>
          <w:p w14:paraId="2DB4E20F">
            <w:p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应支持基于</w:t>
            </w:r>
            <w:r>
              <w:rPr>
                <w:rFonts w:ascii="宋体" w:hAnsi="宋体" w:eastAsia="宋体" w:cs="宋体"/>
                <w:kern w:val="0"/>
                <w:sz w:val="21"/>
                <w:szCs w:val="21"/>
              </w:rPr>
              <w:t>HTML5开发，通过HTML5 APP Cache及本地存储功能，将常用的Javascript、CSS和图片文件缓存在设备内存中，从而缩短启动时间，提高浏览速度，提升用户体验。</w:t>
            </w:r>
          </w:p>
          <w:p w14:paraId="28CF5E6E">
            <w:p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▲手机版和</w:t>
            </w:r>
            <w:r>
              <w:rPr>
                <w:rFonts w:ascii="宋体" w:hAnsi="宋体" w:eastAsia="宋体" w:cs="宋体"/>
                <w:kern w:val="0"/>
                <w:sz w:val="21"/>
                <w:szCs w:val="21"/>
              </w:rPr>
              <w:t>PAD版的网站栏目和数据应自动继承PC版的网站栏目和数据，实现网站内容一次发布，多屏内容实时同步更新。</w:t>
            </w:r>
          </w:p>
          <w:p w14:paraId="781C88EA">
            <w:pPr>
              <w:autoSpaceDE w:val="0"/>
              <w:autoSpaceDN w:val="0"/>
              <w:adjustRightInd w:val="0"/>
              <w:spacing w:line="360" w:lineRule="auto"/>
              <w:ind w:firstLine="420" w:firstLineChars="200"/>
              <w:rPr>
                <w:rFonts w:ascii="宋体" w:hAnsi="宋体" w:eastAsia="宋体" w:cs="宋体"/>
                <w:kern w:val="0"/>
                <w:sz w:val="21"/>
                <w:szCs w:val="21"/>
              </w:rPr>
            </w:pPr>
            <w:r>
              <w:rPr>
                <w:rFonts w:hint="eastAsia" w:ascii="宋体" w:hAnsi="宋体" w:eastAsia="宋体" w:cs="宋体"/>
                <w:kern w:val="0"/>
                <w:sz w:val="21"/>
                <w:szCs w:val="21"/>
              </w:rPr>
              <w:t>手机版应具备以下功能：</w:t>
            </w:r>
          </w:p>
          <w:p w14:paraId="694AB969">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文字格式自动排版：</w:t>
            </w:r>
            <w:r>
              <w:rPr>
                <w:rFonts w:hint="eastAsia" w:ascii="宋体" w:hAnsi="宋体" w:eastAsia="宋体" w:cs="宋体"/>
                <w:kern w:val="0"/>
                <w:sz w:val="21"/>
                <w:szCs w:val="21"/>
              </w:rPr>
              <w:t>确保文字在移动设备上显示清晰且易于阅读。</w:t>
            </w:r>
          </w:p>
          <w:p w14:paraId="6EABE9BD">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图片自动转换压缩：</w:t>
            </w:r>
            <w:r>
              <w:rPr>
                <w:rFonts w:hint="eastAsia" w:ascii="宋体" w:hAnsi="宋体" w:eastAsia="宋体" w:cs="宋体"/>
                <w:kern w:val="0"/>
                <w:sz w:val="21"/>
                <w:szCs w:val="21"/>
              </w:rPr>
              <w:t>优化图片尺寸和质量，以适应移动设备显示，提高加载速度。</w:t>
            </w:r>
          </w:p>
          <w:p w14:paraId="70F29848">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表格滑动显示：</w:t>
            </w:r>
            <w:r>
              <w:rPr>
                <w:rFonts w:hint="eastAsia" w:ascii="宋体" w:hAnsi="宋体" w:eastAsia="宋体" w:cs="宋体"/>
                <w:kern w:val="0"/>
                <w:sz w:val="21"/>
                <w:szCs w:val="21"/>
              </w:rPr>
              <w:t>支持表格在移动设备上的滑动显示，便于用户查看完整内容。</w:t>
            </w:r>
          </w:p>
          <w:p w14:paraId="6BE402F6">
            <w:pPr>
              <w:autoSpaceDE w:val="0"/>
              <w:autoSpaceDN w:val="0"/>
              <w:adjustRightInd w:val="0"/>
              <w:spacing w:line="360" w:lineRule="auto"/>
              <w:ind w:firstLine="422" w:firstLineChars="200"/>
              <w:rPr>
                <w:rFonts w:ascii="宋体" w:hAnsi="宋体" w:eastAsia="宋体" w:cs="宋体"/>
                <w:kern w:val="0"/>
                <w:sz w:val="21"/>
                <w:szCs w:val="21"/>
              </w:rPr>
            </w:pPr>
            <w:r>
              <w:rPr>
                <w:rFonts w:hint="eastAsia" w:ascii="宋体" w:hAnsi="宋体" w:eastAsia="宋体" w:cs="宋体"/>
                <w:b/>
                <w:bCs/>
                <w:kern w:val="0"/>
                <w:sz w:val="21"/>
                <w:szCs w:val="21"/>
              </w:rPr>
              <w:t>视频格式转换：</w:t>
            </w:r>
            <w:r>
              <w:rPr>
                <w:rFonts w:hint="eastAsia" w:ascii="宋体" w:hAnsi="宋体" w:eastAsia="宋体" w:cs="宋体"/>
                <w:kern w:val="0"/>
                <w:sz w:val="21"/>
                <w:szCs w:val="21"/>
              </w:rPr>
              <w:t>上传视频时自动转换为适合移动设备播放的格式，确保视频在移动设备上播放流畅，画面清晰。</w:t>
            </w:r>
          </w:p>
        </w:tc>
      </w:tr>
      <w:tr w14:paraId="1969362A">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151AEADA">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机型适配</w:t>
            </w:r>
          </w:p>
        </w:tc>
        <w:tc>
          <w:tcPr>
            <w:tcW w:w="7681" w:type="dxa"/>
            <w:tcBorders>
              <w:tl2br w:val="nil"/>
              <w:tr2bl w:val="nil"/>
            </w:tcBorders>
            <w:shd w:val="clear" w:color="auto" w:fill="FFFFFF"/>
            <w:vAlign w:val="center"/>
          </w:tcPr>
          <w:p w14:paraId="45E7E90E">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网站应适配各种品牌的电脑系统、手机和平板设备，确保在不同品牌和型号的设备上都能提供最佳的使用体验。</w:t>
            </w:r>
          </w:p>
        </w:tc>
      </w:tr>
      <w:tr w14:paraId="147E3529">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2D684977">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浏览器适配</w:t>
            </w:r>
          </w:p>
        </w:tc>
        <w:tc>
          <w:tcPr>
            <w:tcW w:w="7681" w:type="dxa"/>
            <w:tcBorders>
              <w:tl2br w:val="nil"/>
              <w:tr2bl w:val="nil"/>
            </w:tcBorders>
            <w:shd w:val="clear" w:color="auto" w:fill="FFFFFF"/>
            <w:vAlign w:val="center"/>
          </w:tcPr>
          <w:p w14:paraId="45CF76F3">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▲兼容微软Edge、谷歌Chrome、360浏览器、搜狗浏览器、苹果Safari、UC浏览器、QQ浏览器、火狐Firefox等移动设备的浏览器</w:t>
            </w:r>
          </w:p>
        </w:tc>
      </w:tr>
      <w:tr w14:paraId="0B9D5C23">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1CBE305B">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应用适配</w:t>
            </w:r>
          </w:p>
        </w:tc>
        <w:tc>
          <w:tcPr>
            <w:tcW w:w="7681" w:type="dxa"/>
            <w:tcBorders>
              <w:tl2br w:val="nil"/>
              <w:tr2bl w:val="nil"/>
            </w:tcBorders>
            <w:shd w:val="clear" w:color="auto" w:fill="FFFFFF"/>
            <w:vAlign w:val="center"/>
          </w:tcPr>
          <w:p w14:paraId="628FBE97">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▲适配APP内浏览器网站(包括微信、微博、手机QQ等)</w:t>
            </w:r>
          </w:p>
        </w:tc>
      </w:tr>
      <w:tr w14:paraId="2596098F">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50E2FFDF">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自动跳转</w:t>
            </w:r>
          </w:p>
        </w:tc>
        <w:tc>
          <w:tcPr>
            <w:tcW w:w="7681" w:type="dxa"/>
            <w:tcBorders>
              <w:tl2br w:val="nil"/>
              <w:tr2bl w:val="nil"/>
            </w:tcBorders>
            <w:shd w:val="clear" w:color="auto" w:fill="FFFFFF"/>
            <w:vAlign w:val="center"/>
          </w:tcPr>
          <w:p w14:paraId="64739B96">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自适应</w:t>
            </w:r>
          </w:p>
        </w:tc>
      </w:tr>
      <w:tr w14:paraId="2B403EE9">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3E3A9025">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网站设计</w:t>
            </w:r>
          </w:p>
        </w:tc>
        <w:tc>
          <w:tcPr>
            <w:tcW w:w="7681" w:type="dxa"/>
            <w:tcBorders>
              <w:tl2br w:val="nil"/>
              <w:tr2bl w:val="nil"/>
            </w:tcBorders>
            <w:shd w:val="clear" w:color="auto" w:fill="FFFFFF"/>
            <w:vAlign w:val="center"/>
          </w:tcPr>
          <w:p w14:paraId="4E76B654">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设计+前端+后端</w:t>
            </w:r>
          </w:p>
        </w:tc>
      </w:tr>
      <w:tr w14:paraId="023B7B66">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59FC9C12">
            <w:pPr>
              <w:widowControl/>
              <w:shd w:val="clear" w:color="auto" w:fill="FFFFFF"/>
              <w:spacing w:line="420" w:lineRule="atLeast"/>
              <w:jc w:val="center"/>
              <w:rPr>
                <w:rFonts w:ascii="宋体" w:hAnsi="宋体" w:eastAsia="宋体" w:cs="宋体"/>
                <w:kern w:val="0"/>
                <w:sz w:val="21"/>
                <w:szCs w:val="21"/>
              </w:rPr>
            </w:pPr>
            <w:r>
              <w:rPr>
                <w:rFonts w:hint="eastAsia" w:ascii="宋体" w:hAnsi="宋体" w:eastAsia="宋体" w:cs="宋体"/>
                <w:b/>
                <w:kern w:val="0"/>
                <w:sz w:val="21"/>
                <w:szCs w:val="21"/>
              </w:rPr>
              <w:t>建站服务</w:t>
            </w:r>
          </w:p>
        </w:tc>
        <w:tc>
          <w:tcPr>
            <w:tcW w:w="7681" w:type="dxa"/>
            <w:tcBorders>
              <w:tl2br w:val="nil"/>
              <w:tr2bl w:val="nil"/>
            </w:tcBorders>
            <w:shd w:val="clear" w:color="auto" w:fill="FFFFFF"/>
            <w:vAlign w:val="center"/>
          </w:tcPr>
          <w:p w14:paraId="0A286494">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▲设计图调整满意为止。</w:t>
            </w:r>
          </w:p>
          <w:p w14:paraId="668E6585">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▲交付完整前端后端代码。</w:t>
            </w:r>
          </w:p>
        </w:tc>
      </w:tr>
      <w:tr w14:paraId="7F0A1C63">
        <w:tblPrEx>
          <w:tblBorders>
            <w:top w:val="single" w:color="E7E6E6" w:sz="2" w:space="0"/>
            <w:left w:val="single" w:color="E7E6E6" w:sz="2" w:space="0"/>
            <w:bottom w:val="single" w:color="E7E6E6" w:sz="2" w:space="0"/>
            <w:right w:val="single" w:color="E7E6E6" w:sz="2" w:space="0"/>
            <w:insideH w:val="single" w:color="E7E6E6" w:sz="2" w:space="0"/>
            <w:insideV w:val="single" w:color="E7E6E6" w:sz="2" w:space="0"/>
          </w:tblBorders>
          <w:tblCellMar>
            <w:top w:w="0" w:type="dxa"/>
            <w:left w:w="0" w:type="dxa"/>
            <w:bottom w:w="0" w:type="dxa"/>
            <w:right w:w="0" w:type="dxa"/>
          </w:tblCellMar>
        </w:tblPrEx>
        <w:trPr>
          <w:tblCellSpacing w:w="0" w:type="dxa"/>
        </w:trPr>
        <w:tc>
          <w:tcPr>
            <w:tcW w:w="1419" w:type="dxa"/>
            <w:tcBorders>
              <w:tl2br w:val="nil"/>
              <w:tr2bl w:val="nil"/>
            </w:tcBorders>
            <w:shd w:val="clear" w:color="auto" w:fill="FFFFFF"/>
            <w:vAlign w:val="center"/>
          </w:tcPr>
          <w:p w14:paraId="5EDC73EE">
            <w:pPr>
              <w:widowControl/>
              <w:shd w:val="clear" w:color="auto" w:fill="FFFFFF"/>
              <w:spacing w:line="420" w:lineRule="atLeast"/>
              <w:jc w:val="center"/>
              <w:rPr>
                <w:rFonts w:ascii="宋体" w:hAnsi="宋体" w:eastAsia="宋体" w:cs="宋体"/>
                <w:b/>
                <w:kern w:val="0"/>
                <w:sz w:val="21"/>
                <w:szCs w:val="21"/>
              </w:rPr>
            </w:pPr>
            <w:r>
              <w:rPr>
                <w:rFonts w:hint="eastAsia" w:ascii="宋体" w:hAnsi="宋体" w:eastAsia="宋体" w:cs="宋体"/>
                <w:b/>
                <w:kern w:val="0"/>
                <w:sz w:val="21"/>
                <w:szCs w:val="21"/>
              </w:rPr>
              <w:t>UI设计</w:t>
            </w:r>
          </w:p>
        </w:tc>
        <w:tc>
          <w:tcPr>
            <w:tcW w:w="7681" w:type="dxa"/>
            <w:tcBorders>
              <w:tl2br w:val="nil"/>
              <w:tr2bl w:val="nil"/>
            </w:tcBorders>
            <w:shd w:val="clear" w:color="auto" w:fill="FFFFFF"/>
            <w:vAlign w:val="center"/>
          </w:tcPr>
          <w:p w14:paraId="1A1EBA5A">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设计采用最新的设计风格，确保网站的现代感和视觉吸引力。</w:t>
            </w:r>
          </w:p>
          <w:p w14:paraId="7D9098A3">
            <w:pPr>
              <w:widowControl/>
              <w:shd w:val="clear" w:color="auto" w:fill="FFFFFF"/>
              <w:spacing w:line="420" w:lineRule="atLeast"/>
              <w:jc w:val="left"/>
              <w:rPr>
                <w:rFonts w:ascii="宋体" w:hAnsi="宋体" w:eastAsia="宋体" w:cs="宋体"/>
                <w:kern w:val="0"/>
                <w:sz w:val="21"/>
                <w:szCs w:val="21"/>
              </w:rPr>
            </w:pPr>
            <w:r>
              <w:rPr>
                <w:rFonts w:hint="eastAsia" w:ascii="宋体" w:hAnsi="宋体" w:eastAsia="宋体" w:cs="宋体"/>
                <w:kern w:val="0"/>
                <w:sz w:val="21"/>
                <w:szCs w:val="21"/>
              </w:rPr>
              <w:t>所有网站栏目的页面都应提供完整的</w:t>
            </w:r>
            <w:r>
              <w:rPr>
                <w:rFonts w:ascii="宋体" w:hAnsi="宋体" w:eastAsia="宋体" w:cs="宋体"/>
                <w:kern w:val="0"/>
                <w:sz w:val="21"/>
                <w:szCs w:val="21"/>
              </w:rPr>
              <w:t>UI设计图，以确保设计的一致性和美观性。</w:t>
            </w:r>
          </w:p>
        </w:tc>
      </w:tr>
    </w:tbl>
    <w:p w14:paraId="5FCC6C26">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val="0"/>
          <w:bCs/>
          <w:sz w:val="21"/>
        </w:rPr>
      </w:pPr>
    </w:p>
    <w:p w14:paraId="675DF2F1">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bCs w:val="0"/>
          <w:sz w:val="21"/>
        </w:rPr>
      </w:pPr>
      <w:r>
        <w:rPr>
          <w:rFonts w:hint="default"/>
          <w:b/>
          <w:bCs w:val="0"/>
          <w:sz w:val="21"/>
          <w:lang w:eastAsia="zh-CN"/>
        </w:rPr>
        <w:t>（</w:t>
      </w:r>
      <w:r>
        <w:rPr>
          <w:rFonts w:hint="eastAsia"/>
          <w:b/>
          <w:bCs w:val="0"/>
          <w:sz w:val="21"/>
          <w:lang w:val="en-US" w:eastAsia="zh-CN"/>
        </w:rPr>
        <w:t>2</w:t>
      </w:r>
      <w:r>
        <w:rPr>
          <w:rFonts w:hint="default"/>
          <w:b/>
          <w:bCs w:val="0"/>
          <w:sz w:val="21"/>
          <w:lang w:eastAsia="zh-CN"/>
        </w:rPr>
        <w:t>）</w:t>
      </w:r>
      <w:r>
        <w:rPr>
          <w:rFonts w:hint="eastAsia"/>
          <w:b/>
          <w:bCs w:val="0"/>
          <w:sz w:val="21"/>
        </w:rPr>
        <w:t>网站栏目建设要求：</w:t>
      </w:r>
    </w:p>
    <w:tbl>
      <w:tblPr>
        <w:tblStyle w:val="10"/>
        <w:tblW w:w="9050" w:type="dxa"/>
        <w:tblInd w:w="468" w:type="dxa"/>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shd w:val="clear" w:color="auto" w:fill="FFFFFF"/>
        <w:tblLayout w:type="fixed"/>
        <w:tblCellMar>
          <w:top w:w="0" w:type="dxa"/>
          <w:left w:w="57" w:type="dxa"/>
          <w:bottom w:w="0" w:type="dxa"/>
          <w:right w:w="0" w:type="dxa"/>
        </w:tblCellMar>
      </w:tblPr>
      <w:tblGrid>
        <w:gridCol w:w="1016"/>
        <w:gridCol w:w="1630"/>
        <w:gridCol w:w="6404"/>
      </w:tblGrid>
      <w:tr w14:paraId="12A24CFF">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shd w:val="clear" w:color="auto" w:fill="FFFFFF"/>
          <w:tblCellMar>
            <w:top w:w="0" w:type="dxa"/>
            <w:left w:w="57" w:type="dxa"/>
            <w:bottom w:w="0" w:type="dxa"/>
            <w:right w:w="0" w:type="dxa"/>
          </w:tblCellMar>
        </w:tblPrEx>
        <w:tc>
          <w:tcPr>
            <w:tcW w:w="1016" w:type="dxa"/>
            <w:vMerge w:val="restart"/>
            <w:tcBorders>
              <w:tl2br w:val="nil"/>
              <w:tr2bl w:val="nil"/>
            </w:tcBorders>
            <w:shd w:val="clear" w:color="auto" w:fill="FFFFFF"/>
            <w:vAlign w:val="center"/>
          </w:tcPr>
          <w:p w14:paraId="18FF3AD4">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引导页</w:t>
            </w:r>
          </w:p>
        </w:tc>
        <w:tc>
          <w:tcPr>
            <w:tcW w:w="1630" w:type="dxa"/>
            <w:tcBorders>
              <w:tl2br w:val="nil"/>
              <w:tr2bl w:val="nil"/>
            </w:tcBorders>
            <w:shd w:val="clear" w:color="auto" w:fill="FFFFFF"/>
            <w:vAlign w:val="center"/>
          </w:tcPr>
          <w:p w14:paraId="761D6C58">
            <w:pPr>
              <w:widowControl/>
              <w:shd w:val="clear" w:color="auto" w:fill="FFFFFF"/>
              <w:spacing w:line="420" w:lineRule="atLeast"/>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联系方式</w:t>
            </w:r>
          </w:p>
        </w:tc>
        <w:tc>
          <w:tcPr>
            <w:tcW w:w="6404" w:type="dxa"/>
            <w:tcBorders>
              <w:tl2br w:val="nil"/>
              <w:tr2bl w:val="nil"/>
            </w:tcBorders>
            <w:shd w:val="clear" w:color="auto" w:fill="FFFFFF"/>
            <w:vAlign w:val="center"/>
          </w:tcPr>
          <w:p w14:paraId="0A7960FB">
            <w:pPr>
              <w:widowControl/>
              <w:shd w:val="clear" w:color="auto" w:fill="FFFFFF"/>
              <w:spacing w:line="420" w:lineRule="atLeast"/>
              <w:jc w:val="left"/>
              <w:rPr>
                <w:rFonts w:hint="eastAsia" w:ascii="宋体" w:hAnsi="宋体" w:eastAsia="宋体" w:cs="宋体"/>
                <w:kern w:val="0"/>
                <w:sz w:val="21"/>
                <w:szCs w:val="21"/>
              </w:rPr>
            </w:pPr>
            <w:r>
              <w:rPr>
                <w:rFonts w:hint="eastAsia" w:ascii="宋体" w:hAnsi="宋体" w:eastAsia="宋体" w:cs="宋体"/>
                <w:kern w:val="0"/>
                <w:sz w:val="21"/>
                <w:szCs w:val="21"/>
              </w:rPr>
              <w:t>主要展示：logo，二维码，联系电话，地址，预约挂号和医院导航入口。</w:t>
            </w:r>
          </w:p>
        </w:tc>
      </w:tr>
      <w:tr w14:paraId="1ACC8D04">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7C85F4A7">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0F4C210">
            <w:pPr>
              <w:widowControl/>
              <w:shd w:val="clear" w:color="auto" w:fill="FFFFFF"/>
              <w:spacing w:line="420" w:lineRule="atLeast"/>
              <w:jc w:val="center"/>
              <w:rPr>
                <w:rFonts w:hint="eastAsia" w:ascii="宋体" w:hAnsi="宋体" w:eastAsia="宋体" w:cs="宋体"/>
                <w:b/>
                <w:bCs/>
                <w:kern w:val="0"/>
                <w:sz w:val="21"/>
                <w:szCs w:val="21"/>
                <w:lang w:eastAsia="zh-CN"/>
              </w:rPr>
            </w:pPr>
            <w:r>
              <w:rPr>
                <w:rFonts w:hint="eastAsia" w:cs="宋体"/>
                <w:b/>
                <w:bCs/>
                <w:kern w:val="0"/>
                <w:sz w:val="21"/>
                <w:szCs w:val="21"/>
                <w:lang w:eastAsia="zh-CN"/>
              </w:rPr>
              <w:t>中文版</w:t>
            </w:r>
          </w:p>
        </w:tc>
        <w:tc>
          <w:tcPr>
            <w:tcW w:w="6404" w:type="dxa"/>
            <w:tcBorders>
              <w:tl2br w:val="nil"/>
              <w:tr2bl w:val="nil"/>
            </w:tcBorders>
            <w:shd w:val="clear" w:color="auto" w:fill="FFFFFF"/>
            <w:vAlign w:val="center"/>
          </w:tcPr>
          <w:p w14:paraId="484C20D3">
            <w:pPr>
              <w:widowControl/>
              <w:shd w:val="clear" w:color="auto" w:fill="FFFFFF"/>
              <w:spacing w:line="420" w:lineRule="atLeast"/>
              <w:jc w:val="left"/>
              <w:rPr>
                <w:rFonts w:hint="eastAsia" w:ascii="宋体" w:hAnsi="宋体" w:eastAsia="宋体" w:cs="宋体"/>
                <w:kern w:val="0"/>
                <w:sz w:val="21"/>
                <w:szCs w:val="21"/>
              </w:rPr>
            </w:pPr>
            <w:r>
              <w:rPr>
                <w:rFonts w:hint="eastAsia" w:ascii="宋体" w:hAnsi="宋体" w:eastAsia="宋体" w:cs="宋体"/>
                <w:kern w:val="0"/>
                <w:sz w:val="21"/>
                <w:szCs w:val="21"/>
              </w:rPr>
              <w:t>公众版入口，主要展示：首页，医院概况，院务公开，医院动态，就诊指南，科室导航，护理之窗，公益事业，科研教学，健康科普，党群工作，投诉反馈，人才招聘等</w:t>
            </w:r>
          </w:p>
        </w:tc>
      </w:tr>
      <w:tr w14:paraId="6A363BCC">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10A28AD4">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74D69C46">
            <w:pPr>
              <w:widowControl/>
              <w:shd w:val="clear" w:color="auto" w:fill="FFFFFF"/>
              <w:spacing w:line="420" w:lineRule="atLeast"/>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英文版</w:t>
            </w:r>
          </w:p>
        </w:tc>
        <w:tc>
          <w:tcPr>
            <w:tcW w:w="6404" w:type="dxa"/>
            <w:tcBorders>
              <w:tl2br w:val="nil"/>
              <w:tr2bl w:val="nil"/>
            </w:tcBorders>
            <w:shd w:val="clear" w:color="auto" w:fill="FFFFFF"/>
            <w:vAlign w:val="center"/>
          </w:tcPr>
          <w:p w14:paraId="5335D17A">
            <w:pPr>
              <w:widowControl/>
              <w:shd w:val="clear" w:color="auto" w:fill="FFFFFF"/>
              <w:spacing w:line="420" w:lineRule="atLeast"/>
              <w:jc w:val="left"/>
              <w:rPr>
                <w:rFonts w:hint="eastAsia" w:ascii="宋体" w:hAnsi="宋体" w:eastAsia="宋体" w:cs="宋体"/>
                <w:kern w:val="0"/>
                <w:sz w:val="21"/>
                <w:szCs w:val="21"/>
              </w:rPr>
            </w:pPr>
            <w:r>
              <w:rPr>
                <w:rFonts w:hint="eastAsia" w:ascii="宋体" w:hAnsi="宋体" w:eastAsia="宋体" w:cs="宋体"/>
                <w:kern w:val="0"/>
                <w:sz w:val="21"/>
                <w:szCs w:val="21"/>
              </w:rPr>
              <w:t>医院介绍的英文版本</w:t>
            </w:r>
          </w:p>
        </w:tc>
      </w:tr>
      <w:tr w14:paraId="7D6D3CBE">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restart"/>
            <w:tcBorders>
              <w:tl2br w:val="nil"/>
              <w:tr2bl w:val="nil"/>
            </w:tcBorders>
            <w:shd w:val="clear" w:color="auto" w:fill="FFFFFF"/>
            <w:vAlign w:val="center"/>
          </w:tcPr>
          <w:p w14:paraId="48D04A5C">
            <w:pPr>
              <w:shd w:val="clear" w:color="auto" w:fill="FFFFFF"/>
              <w:spacing w:line="420" w:lineRule="atLeast"/>
              <w:jc w:val="center"/>
              <w:rPr>
                <w:rFonts w:hint="eastAsia" w:ascii="宋体" w:hAnsi="宋体" w:eastAsia="宋体" w:cs="宋体"/>
                <w:b/>
                <w:kern w:val="0"/>
                <w:sz w:val="21"/>
                <w:szCs w:val="21"/>
                <w:lang w:eastAsia="zh-CN"/>
              </w:rPr>
            </w:pPr>
            <w:r>
              <w:rPr>
                <w:rFonts w:hint="eastAsia" w:cs="宋体"/>
                <w:b/>
                <w:kern w:val="0"/>
                <w:sz w:val="21"/>
                <w:szCs w:val="21"/>
                <w:lang w:eastAsia="zh-CN"/>
              </w:rPr>
              <w:t>首页</w:t>
            </w:r>
          </w:p>
        </w:tc>
        <w:tc>
          <w:tcPr>
            <w:tcW w:w="1630" w:type="dxa"/>
            <w:tcBorders>
              <w:tl2br w:val="nil"/>
              <w:tr2bl w:val="nil"/>
            </w:tcBorders>
            <w:shd w:val="clear" w:color="auto" w:fill="FFFFFF"/>
            <w:vAlign w:val="center"/>
          </w:tcPr>
          <w:p w14:paraId="51B558EC">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医院概况</w:t>
            </w:r>
          </w:p>
        </w:tc>
        <w:tc>
          <w:tcPr>
            <w:tcW w:w="6404" w:type="dxa"/>
            <w:tcBorders>
              <w:tl2br w:val="nil"/>
              <w:tr2bl w:val="nil"/>
            </w:tcBorders>
            <w:shd w:val="clear" w:color="auto" w:fill="FFFFFF"/>
            <w:vAlign w:val="center"/>
          </w:tcPr>
          <w:p w14:paraId="0E71CAA0">
            <w:pPr>
              <w:widowControl/>
              <w:shd w:val="clear" w:color="auto" w:fill="FFFFFF"/>
              <w:spacing w:line="420" w:lineRule="atLeast"/>
              <w:jc w:val="left"/>
              <w:rPr>
                <w:rFonts w:hint="eastAsia" w:ascii="宋体" w:hAnsi="宋体" w:eastAsia="宋体" w:cs="宋体"/>
                <w:kern w:val="0"/>
                <w:sz w:val="21"/>
                <w:szCs w:val="21"/>
              </w:rPr>
            </w:pPr>
            <w:r>
              <w:rPr>
                <w:rFonts w:hint="eastAsia" w:ascii="宋体" w:hAnsi="宋体" w:eastAsia="宋体" w:cs="宋体"/>
                <w:kern w:val="0"/>
                <w:sz w:val="21"/>
                <w:szCs w:val="21"/>
              </w:rPr>
              <w:t>主要包括医院简介，领导团队，组织架构，执业登记，院训宗旨，医院环境等模块，实现包含图片、文字、视频等展示方式，帮助用户快速了解医院基础信息和实力规模</w:t>
            </w:r>
          </w:p>
        </w:tc>
      </w:tr>
      <w:tr w14:paraId="1FA40817">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18F4CEFE">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42E01F5A">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院务公开</w:t>
            </w:r>
          </w:p>
        </w:tc>
        <w:tc>
          <w:tcPr>
            <w:tcW w:w="6404" w:type="dxa"/>
            <w:tcBorders>
              <w:tl2br w:val="nil"/>
              <w:tr2bl w:val="nil"/>
            </w:tcBorders>
            <w:shd w:val="clear" w:color="auto" w:fill="FFFFFF"/>
            <w:vAlign w:val="center"/>
          </w:tcPr>
          <w:p w14:paraId="033C5191">
            <w:pPr>
              <w:widowControl/>
              <w:jc w:val="left"/>
              <w:rPr>
                <w:rFonts w:hint="eastAsia" w:ascii="宋体" w:hAnsi="宋体" w:eastAsia="宋体" w:cs="宋体"/>
                <w:sz w:val="21"/>
                <w:szCs w:val="21"/>
              </w:rPr>
            </w:pPr>
            <w:r>
              <w:rPr>
                <w:rFonts w:hint="eastAsia" w:ascii="宋体" w:hAnsi="宋体" w:eastAsia="宋体" w:cs="宋体"/>
                <w:kern w:val="0"/>
                <w:sz w:val="21"/>
                <w:szCs w:val="21"/>
              </w:rPr>
              <w:t>主要包括</w:t>
            </w:r>
            <w:r>
              <w:rPr>
                <w:rFonts w:hint="eastAsia" w:ascii="宋体" w:hAnsi="宋体" w:eastAsia="宋体" w:cs="宋体"/>
                <w:sz w:val="21"/>
                <w:szCs w:val="21"/>
              </w:rPr>
              <w:t>政策法规，信息公开，运营情况，预决算公开，行风建设等模块，</w:t>
            </w:r>
            <w:r>
              <w:rPr>
                <w:rFonts w:hint="eastAsia" w:ascii="宋体" w:hAnsi="宋体" w:eastAsia="宋体" w:cs="宋体"/>
                <w:kern w:val="0"/>
                <w:sz w:val="21"/>
                <w:szCs w:val="21"/>
              </w:rPr>
              <w:t>实现包含图片、文字、视频等展示方式，帮助用户快速全面得获取医院相关信息</w:t>
            </w:r>
          </w:p>
        </w:tc>
      </w:tr>
      <w:tr w14:paraId="2E67636E">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59755E6D">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1C8FB8C4">
            <w:pPr>
              <w:widowControl/>
              <w:shd w:val="clear" w:color="auto" w:fill="FFFFFF"/>
              <w:spacing w:line="420" w:lineRule="atLeast"/>
              <w:jc w:val="center"/>
              <w:rPr>
                <w:rFonts w:hint="eastAsia" w:ascii="宋体" w:hAnsi="宋体" w:eastAsia="宋体" w:cs="宋体"/>
                <w:b/>
                <w:kern w:val="0"/>
                <w:sz w:val="21"/>
                <w:szCs w:val="21"/>
                <w:lang w:val="zh-CN" w:eastAsia="zh-CN" w:bidi="zh-CN"/>
              </w:rPr>
            </w:pPr>
            <w:r>
              <w:rPr>
                <w:rFonts w:hint="eastAsia" w:cs="宋体"/>
                <w:b/>
                <w:kern w:val="0"/>
                <w:sz w:val="21"/>
                <w:szCs w:val="21"/>
                <w:lang w:val="zh-CN" w:eastAsia="zh-CN" w:bidi="zh-CN"/>
              </w:rPr>
              <w:t>患者服务</w:t>
            </w:r>
          </w:p>
        </w:tc>
        <w:tc>
          <w:tcPr>
            <w:tcW w:w="6404" w:type="dxa"/>
            <w:tcBorders>
              <w:tl2br w:val="nil"/>
              <w:tr2bl w:val="nil"/>
            </w:tcBorders>
            <w:shd w:val="clear" w:color="auto" w:fill="FFFFFF"/>
            <w:vAlign w:val="center"/>
          </w:tcPr>
          <w:p w14:paraId="5B85A943">
            <w:pPr>
              <w:widowControl/>
              <w:jc w:val="left"/>
              <w:rPr>
                <w:rFonts w:hint="eastAsia" w:ascii="宋体" w:hAnsi="宋体" w:eastAsia="宋体" w:cs="宋体"/>
                <w:sz w:val="21"/>
                <w:szCs w:val="21"/>
                <w:lang w:val="zh-CN" w:eastAsia="zh-CN" w:bidi="zh-CN"/>
              </w:rPr>
            </w:pPr>
            <w:r>
              <w:rPr>
                <w:rFonts w:hint="eastAsia" w:ascii="宋体" w:hAnsi="宋体" w:eastAsia="宋体" w:cs="宋体"/>
                <w:sz w:val="21"/>
                <w:szCs w:val="21"/>
              </w:rPr>
              <w:t>主要包括预约挂号，</w:t>
            </w:r>
            <w:r>
              <w:rPr>
                <w:rFonts w:hint="eastAsia" w:cs="宋体"/>
                <w:sz w:val="21"/>
                <w:szCs w:val="21"/>
                <w:lang w:eastAsia="zh-CN"/>
              </w:rPr>
              <w:t>来院交通路线</w:t>
            </w:r>
            <w:r>
              <w:rPr>
                <w:rFonts w:hint="eastAsia" w:ascii="宋体" w:hAnsi="宋体" w:eastAsia="宋体" w:cs="宋体"/>
                <w:sz w:val="21"/>
                <w:szCs w:val="21"/>
              </w:rPr>
              <w:t>，院内导航，医保服务，就诊指引，便民服务等模块，旨在帮助用户快速全面的了解就诊相关事宜，提高来院就诊效率</w:t>
            </w:r>
            <w:r>
              <w:rPr>
                <w:rFonts w:hint="eastAsia" w:cs="宋体"/>
                <w:sz w:val="21"/>
                <w:szCs w:val="21"/>
                <w:lang w:eastAsia="zh-CN"/>
              </w:rPr>
              <w:t>，提供更全面的就医相关指引信息</w:t>
            </w:r>
          </w:p>
        </w:tc>
      </w:tr>
      <w:tr w14:paraId="07C5D3FE">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1CBCAE21">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4642DB4F">
            <w:pPr>
              <w:widowControl/>
              <w:shd w:val="clear" w:color="auto" w:fill="FFFFFF"/>
              <w:spacing w:line="420" w:lineRule="atLeast"/>
              <w:jc w:val="center"/>
              <w:rPr>
                <w:rFonts w:hint="eastAsia" w:cs="宋体"/>
                <w:b/>
                <w:kern w:val="0"/>
                <w:sz w:val="21"/>
                <w:szCs w:val="21"/>
                <w:lang w:val="zh-CN" w:eastAsia="zh-CN" w:bidi="zh-CN"/>
              </w:rPr>
            </w:pPr>
            <w:r>
              <w:rPr>
                <w:rFonts w:hint="eastAsia" w:cs="宋体"/>
                <w:b/>
                <w:kern w:val="0"/>
                <w:sz w:val="21"/>
                <w:szCs w:val="21"/>
                <w:lang w:eastAsia="zh-CN"/>
              </w:rPr>
              <w:t>医疗特色</w:t>
            </w:r>
          </w:p>
        </w:tc>
        <w:tc>
          <w:tcPr>
            <w:tcW w:w="6404" w:type="dxa"/>
            <w:tcBorders>
              <w:tl2br w:val="nil"/>
              <w:tr2bl w:val="nil"/>
            </w:tcBorders>
            <w:shd w:val="clear" w:color="auto" w:fill="FFFFFF"/>
            <w:vAlign w:val="center"/>
          </w:tcPr>
          <w:p w14:paraId="2C81E5CA">
            <w:pPr>
              <w:widowControl/>
              <w:jc w:val="left"/>
              <w:rPr>
                <w:rFonts w:hint="eastAsia" w:ascii="宋体" w:hAnsi="宋体" w:eastAsia="宋体" w:cs="宋体"/>
                <w:sz w:val="21"/>
                <w:szCs w:val="21"/>
                <w:lang w:eastAsia="zh-CN"/>
              </w:rPr>
            </w:pPr>
            <w:r>
              <w:rPr>
                <w:rFonts w:hint="eastAsia" w:ascii="宋体" w:hAnsi="宋体" w:eastAsia="宋体" w:cs="宋体"/>
                <w:kern w:val="0"/>
                <w:sz w:val="21"/>
                <w:szCs w:val="21"/>
              </w:rPr>
              <w:t>主要包括</w:t>
            </w:r>
            <w:r>
              <w:rPr>
                <w:rFonts w:hint="eastAsia" w:cs="宋体"/>
                <w:kern w:val="0"/>
                <w:sz w:val="21"/>
                <w:szCs w:val="21"/>
                <w:lang w:eastAsia="zh-CN"/>
              </w:rPr>
              <w:t>重点专科、特色技术、诊疗中心、健康科普等，展示市妇儿医疗中心高精尖特色技术</w:t>
            </w:r>
          </w:p>
        </w:tc>
      </w:tr>
      <w:tr w14:paraId="7B19D76D">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6E70B9ED">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71F43DD">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科室导航</w:t>
            </w:r>
          </w:p>
        </w:tc>
        <w:tc>
          <w:tcPr>
            <w:tcW w:w="6404" w:type="dxa"/>
            <w:tcBorders>
              <w:tl2br w:val="nil"/>
              <w:tr2bl w:val="nil"/>
            </w:tcBorders>
            <w:shd w:val="clear" w:color="auto" w:fill="FFFFFF"/>
            <w:vAlign w:val="center"/>
          </w:tcPr>
          <w:p w14:paraId="27BC504A">
            <w:pPr>
              <w:widowControl/>
              <w:shd w:val="clear" w:color="auto" w:fill="FFFFFF"/>
              <w:spacing w:line="420" w:lineRule="atLeast"/>
              <w:jc w:val="left"/>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一级按院区划分，包含珠江新城院区、儿童院区、妇婴院区、增城院区、白云院区等；二级根据院区部门划分，包含内科部、外科部、妇产科部、药学部、临床检验部等；三级根据部门科室划分，如内科部包含儿童呼吸科、消化科、儿童保健科等，科学的科室导航方式能让用户快速定位所需科室信息</w:t>
            </w:r>
          </w:p>
        </w:tc>
      </w:tr>
      <w:tr w14:paraId="7F81ECBD">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3D219A8E">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1DD9F352">
            <w:pPr>
              <w:widowControl/>
              <w:shd w:val="clear" w:color="auto" w:fill="FFFFFF"/>
              <w:spacing w:line="420" w:lineRule="atLeast"/>
              <w:jc w:val="center"/>
              <w:rPr>
                <w:rFonts w:hint="eastAsia" w:ascii="宋体" w:hAnsi="宋体" w:eastAsia="宋体" w:cs="宋体"/>
                <w:b/>
                <w:kern w:val="0"/>
                <w:sz w:val="21"/>
                <w:szCs w:val="21"/>
                <w:lang w:eastAsia="zh-CN"/>
              </w:rPr>
            </w:pPr>
            <w:r>
              <w:rPr>
                <w:rFonts w:hint="eastAsia" w:cs="宋体"/>
                <w:b/>
                <w:kern w:val="0"/>
                <w:sz w:val="21"/>
                <w:szCs w:val="21"/>
                <w:lang w:eastAsia="zh-CN"/>
              </w:rPr>
              <w:t>医生介绍</w:t>
            </w:r>
          </w:p>
        </w:tc>
        <w:tc>
          <w:tcPr>
            <w:tcW w:w="6404" w:type="dxa"/>
            <w:tcBorders>
              <w:tl2br w:val="nil"/>
              <w:tr2bl w:val="nil"/>
            </w:tcBorders>
            <w:shd w:val="clear" w:color="auto" w:fill="FFFFFF"/>
            <w:vAlign w:val="center"/>
          </w:tcPr>
          <w:p w14:paraId="16A4AFC5">
            <w:pPr>
              <w:widowControl/>
              <w:shd w:val="clear" w:color="auto" w:fill="FFFFFF"/>
              <w:spacing w:line="420" w:lineRule="atLeast"/>
              <w:jc w:val="left"/>
              <w:rPr>
                <w:rFonts w:hint="eastAsia" w:ascii="宋体" w:hAnsi="宋体" w:eastAsia="宋体" w:cs="宋体"/>
                <w:kern w:val="0"/>
                <w:sz w:val="21"/>
                <w:szCs w:val="21"/>
                <w:lang w:eastAsia="zh-CN"/>
              </w:rPr>
            </w:pPr>
            <w:r>
              <w:rPr>
                <w:rFonts w:hint="eastAsia" w:cs="宋体"/>
                <w:kern w:val="0"/>
                <w:sz w:val="21"/>
                <w:szCs w:val="21"/>
                <w:lang w:eastAsia="zh-CN"/>
              </w:rPr>
              <w:t>同上，展示医生简介，便于浏览者想精准定位寻找目标医生</w:t>
            </w:r>
          </w:p>
        </w:tc>
      </w:tr>
      <w:tr w14:paraId="452C46B9">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0EB4D120">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3EC41BF0">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护理之窗</w:t>
            </w:r>
          </w:p>
        </w:tc>
        <w:tc>
          <w:tcPr>
            <w:tcW w:w="6404" w:type="dxa"/>
            <w:tcBorders>
              <w:tl2br w:val="nil"/>
              <w:tr2bl w:val="nil"/>
            </w:tcBorders>
            <w:shd w:val="clear" w:color="auto" w:fill="FFFFFF"/>
            <w:vAlign w:val="center"/>
          </w:tcPr>
          <w:p w14:paraId="603A0BC4">
            <w:pPr>
              <w:widowControl/>
              <w:shd w:val="clear" w:color="auto" w:fill="FFFFFF"/>
              <w:spacing w:line="420" w:lineRule="atLeast"/>
              <w:jc w:val="left"/>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主要包括护理概况、护理动向、护理教学、护理科研、护理风采、专题栏目、叙事护理等模块，实现包含图片、文字、视频等展示方式，全面展示医院护理相关特色与成就</w:t>
            </w:r>
          </w:p>
        </w:tc>
      </w:tr>
      <w:tr w14:paraId="5B7C2499">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657CC737">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19D1CA7">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科研教学</w:t>
            </w:r>
          </w:p>
        </w:tc>
        <w:tc>
          <w:tcPr>
            <w:tcW w:w="6404" w:type="dxa"/>
            <w:tcBorders>
              <w:tl2br w:val="nil"/>
              <w:tr2bl w:val="nil"/>
            </w:tcBorders>
            <w:shd w:val="clear" w:color="auto" w:fill="FFFFFF"/>
            <w:vAlign w:val="center"/>
          </w:tcPr>
          <w:p w14:paraId="30921939">
            <w:pPr>
              <w:widowControl/>
              <w:shd w:val="clear" w:color="auto" w:fill="FFFFFF"/>
              <w:spacing w:line="420" w:lineRule="atLeast"/>
              <w:jc w:val="left"/>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主要包括科研前沿、科研平台、本科教育、研究生培养、规范化培训、继续教育、进修教育、模拟医学中心等模块，实现包含图片、文字、视频等展示方式，展示医院对教学的规划以及成果</w:t>
            </w:r>
          </w:p>
        </w:tc>
      </w:tr>
      <w:tr w14:paraId="2DA43041">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00D3C8D7">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73B3BD27">
            <w:pPr>
              <w:widowControl/>
              <w:shd w:val="clear" w:color="auto" w:fill="FFFFFF"/>
              <w:spacing w:line="420" w:lineRule="atLeast"/>
              <w:jc w:val="center"/>
              <w:rPr>
                <w:rFonts w:hint="eastAsia" w:ascii="宋体" w:hAnsi="宋体" w:eastAsia="宋体" w:cs="宋体"/>
                <w:b/>
                <w:kern w:val="0"/>
                <w:sz w:val="21"/>
                <w:szCs w:val="21"/>
                <w:lang w:val="zh-CN" w:eastAsia="zh-CN" w:bidi="zh-CN"/>
              </w:rPr>
            </w:pPr>
            <w:r>
              <w:rPr>
                <w:rFonts w:hint="eastAsia" w:ascii="宋体" w:hAnsi="宋体" w:eastAsia="宋体" w:cs="宋体"/>
                <w:b/>
                <w:kern w:val="0"/>
                <w:sz w:val="21"/>
                <w:szCs w:val="21"/>
              </w:rPr>
              <w:t>党群</w:t>
            </w:r>
            <w:r>
              <w:rPr>
                <w:rFonts w:hint="eastAsia" w:cs="宋体"/>
                <w:b/>
                <w:kern w:val="0"/>
                <w:sz w:val="21"/>
                <w:szCs w:val="21"/>
                <w:lang w:eastAsia="zh-CN"/>
              </w:rPr>
              <w:t>建设</w:t>
            </w:r>
          </w:p>
        </w:tc>
        <w:tc>
          <w:tcPr>
            <w:tcW w:w="6404" w:type="dxa"/>
            <w:tcBorders>
              <w:tl2br w:val="nil"/>
              <w:tr2bl w:val="nil"/>
            </w:tcBorders>
            <w:shd w:val="clear" w:color="auto" w:fill="FFFFFF"/>
            <w:vAlign w:val="center"/>
          </w:tcPr>
          <w:p w14:paraId="01362E97">
            <w:pPr>
              <w:widowControl/>
              <w:shd w:val="clear" w:color="auto" w:fill="FFFFFF"/>
              <w:spacing w:line="420" w:lineRule="atLeast"/>
              <w:jc w:val="left"/>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主要包括基层党建，廉政</w:t>
            </w:r>
            <w:r>
              <w:rPr>
                <w:rFonts w:hint="eastAsia" w:cs="宋体"/>
                <w:kern w:val="0"/>
                <w:sz w:val="21"/>
                <w:szCs w:val="21"/>
                <w:lang w:eastAsia="zh-CN"/>
              </w:rPr>
              <w:t>建设</w:t>
            </w:r>
            <w:r>
              <w:rPr>
                <w:rFonts w:hint="eastAsia" w:ascii="宋体" w:hAnsi="宋体" w:eastAsia="宋体" w:cs="宋体"/>
                <w:kern w:val="0"/>
                <w:sz w:val="21"/>
                <w:szCs w:val="21"/>
              </w:rPr>
              <w:t>，工会建设，共青团等模块，实现包含图片、文字、视频等展示方式</w:t>
            </w:r>
          </w:p>
        </w:tc>
      </w:tr>
      <w:tr w14:paraId="48DAD090">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6E02D759">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278B5F59">
            <w:pPr>
              <w:widowControl/>
              <w:shd w:val="clear" w:color="auto" w:fill="FFFFFF"/>
              <w:spacing w:line="420" w:lineRule="atLeast"/>
              <w:jc w:val="center"/>
              <w:rPr>
                <w:rFonts w:hint="eastAsia" w:ascii="宋体" w:hAnsi="宋体" w:eastAsia="宋体" w:cs="宋体"/>
                <w:kern w:val="0"/>
                <w:sz w:val="21"/>
                <w:szCs w:val="21"/>
                <w:lang w:val="zh-CN" w:eastAsia="zh-CN" w:bidi="zh-CN"/>
              </w:rPr>
            </w:pPr>
            <w:r>
              <w:rPr>
                <w:rFonts w:hint="eastAsia" w:ascii="宋体" w:hAnsi="宋体" w:eastAsia="宋体" w:cs="宋体"/>
                <w:b/>
                <w:kern w:val="0"/>
                <w:sz w:val="21"/>
                <w:szCs w:val="21"/>
              </w:rPr>
              <w:t>公益事业</w:t>
            </w:r>
          </w:p>
        </w:tc>
        <w:tc>
          <w:tcPr>
            <w:tcW w:w="6404" w:type="dxa"/>
            <w:tcBorders>
              <w:tl2br w:val="nil"/>
              <w:tr2bl w:val="nil"/>
            </w:tcBorders>
            <w:shd w:val="clear" w:color="auto" w:fill="FFFFFF"/>
            <w:vAlign w:val="center"/>
          </w:tcPr>
          <w:p w14:paraId="6306DF45">
            <w:pPr>
              <w:widowControl/>
              <w:shd w:val="clear" w:color="auto" w:fill="FFFFFF"/>
              <w:spacing w:line="420" w:lineRule="atLeast"/>
              <w:jc w:val="left"/>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rPr>
              <w:t>主要包括慈善基金，医务社工，医善同行，健康帮扶等模块，实现包含图片、文字、视频等展示方式，宣扬医疗事业正能量</w:t>
            </w:r>
          </w:p>
        </w:tc>
      </w:tr>
      <w:tr w14:paraId="673910B8">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7F093E10">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141A8D3B">
            <w:pPr>
              <w:widowControl/>
              <w:shd w:val="clear" w:color="auto" w:fill="FFFFFF"/>
              <w:spacing w:line="420" w:lineRule="atLeast"/>
              <w:jc w:val="center"/>
              <w:rPr>
                <w:rFonts w:hint="eastAsia" w:ascii="宋体" w:hAnsi="宋体" w:eastAsia="宋体" w:cs="宋体"/>
                <w:b/>
                <w:kern w:val="0"/>
                <w:sz w:val="21"/>
                <w:szCs w:val="21"/>
                <w:lang w:eastAsia="zh-CN"/>
              </w:rPr>
            </w:pPr>
            <w:r>
              <w:rPr>
                <w:rFonts w:hint="eastAsia" w:cs="宋体"/>
                <w:b/>
                <w:kern w:val="0"/>
                <w:sz w:val="21"/>
                <w:szCs w:val="21"/>
                <w:lang w:eastAsia="zh-CN"/>
              </w:rPr>
              <w:t>资讯中心</w:t>
            </w:r>
          </w:p>
        </w:tc>
        <w:tc>
          <w:tcPr>
            <w:tcW w:w="6404" w:type="dxa"/>
            <w:tcBorders>
              <w:tl2br w:val="nil"/>
              <w:tr2bl w:val="nil"/>
            </w:tcBorders>
            <w:shd w:val="clear" w:color="auto" w:fill="FFFFFF"/>
            <w:vAlign w:val="center"/>
          </w:tcPr>
          <w:p w14:paraId="14C21B59">
            <w:pPr>
              <w:rPr>
                <w:rFonts w:hint="eastAsia" w:ascii="宋体" w:hAnsi="宋体" w:eastAsia="宋体" w:cs="宋体"/>
                <w:sz w:val="21"/>
                <w:szCs w:val="21"/>
              </w:rPr>
            </w:pPr>
            <w:r>
              <w:rPr>
                <w:rFonts w:hint="eastAsia" w:ascii="宋体" w:hAnsi="宋体" w:eastAsia="宋体" w:cs="宋体"/>
                <w:kern w:val="0"/>
                <w:sz w:val="21"/>
                <w:szCs w:val="21"/>
              </w:rPr>
              <w:t>主要包括医院新闻，通知公告，对外交流，媒体报道</w:t>
            </w:r>
            <w:r>
              <w:rPr>
                <w:rFonts w:hint="eastAsia" w:ascii="宋体" w:hAnsi="宋体" w:eastAsia="宋体" w:cs="宋体"/>
                <w:sz w:val="21"/>
                <w:szCs w:val="21"/>
              </w:rPr>
              <w:t>等模块，</w:t>
            </w:r>
            <w:r>
              <w:rPr>
                <w:rFonts w:hint="eastAsia" w:ascii="宋体" w:hAnsi="宋体" w:eastAsia="宋体" w:cs="宋体"/>
                <w:kern w:val="0"/>
                <w:sz w:val="21"/>
                <w:szCs w:val="21"/>
              </w:rPr>
              <w:t>实现包含图片、文字、视频等展示方式，帮助用户实时了解医院相关新闻以及医院对外的公告信息</w:t>
            </w:r>
          </w:p>
        </w:tc>
      </w:tr>
      <w:tr w14:paraId="4E43B6BF">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vMerge w:val="continue"/>
            <w:tcBorders>
              <w:tl2br w:val="nil"/>
              <w:tr2bl w:val="nil"/>
            </w:tcBorders>
            <w:shd w:val="clear" w:color="auto" w:fill="FFFFFF"/>
            <w:vAlign w:val="center"/>
          </w:tcPr>
          <w:p w14:paraId="6727C8D7">
            <w:pPr>
              <w:widowControl/>
              <w:shd w:val="clear" w:color="auto" w:fill="FFFFFF"/>
              <w:spacing w:line="420" w:lineRule="atLeast"/>
              <w:jc w:val="center"/>
              <w:rPr>
                <w:rFonts w:hint="eastAsia" w:ascii="宋体" w:hAnsi="宋体" w:eastAsia="宋体" w:cs="宋体"/>
                <w:b/>
                <w:kern w:val="0"/>
                <w:sz w:val="21"/>
                <w:szCs w:val="21"/>
              </w:rPr>
            </w:pPr>
          </w:p>
        </w:tc>
        <w:tc>
          <w:tcPr>
            <w:tcW w:w="1630" w:type="dxa"/>
            <w:tcBorders>
              <w:tl2br w:val="nil"/>
              <w:tr2bl w:val="nil"/>
            </w:tcBorders>
            <w:shd w:val="clear" w:color="auto" w:fill="FFFFFF"/>
            <w:vAlign w:val="center"/>
          </w:tcPr>
          <w:p w14:paraId="63A13411">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人才招聘</w:t>
            </w:r>
          </w:p>
        </w:tc>
        <w:tc>
          <w:tcPr>
            <w:tcW w:w="6404" w:type="dxa"/>
            <w:tcBorders>
              <w:tl2br w:val="nil"/>
              <w:tr2bl w:val="nil"/>
            </w:tcBorders>
            <w:shd w:val="clear" w:color="auto" w:fill="FFFFFF"/>
            <w:vAlign w:val="center"/>
          </w:tcPr>
          <w:p w14:paraId="5ECE4C10">
            <w:pPr>
              <w:widowControl/>
              <w:shd w:val="clear" w:color="auto" w:fill="FFFFFF"/>
              <w:spacing w:line="420" w:lineRule="atLeast"/>
              <w:jc w:val="left"/>
              <w:rPr>
                <w:rFonts w:hint="eastAsia" w:ascii="宋体" w:hAnsi="宋体" w:eastAsia="宋体" w:cs="宋体"/>
                <w:kern w:val="0"/>
                <w:sz w:val="21"/>
                <w:szCs w:val="21"/>
              </w:rPr>
            </w:pPr>
            <w:r>
              <w:rPr>
                <w:rFonts w:hint="eastAsia" w:ascii="宋体" w:hAnsi="宋体" w:eastAsia="宋体" w:cs="宋体"/>
                <w:kern w:val="0"/>
                <w:sz w:val="21"/>
                <w:szCs w:val="21"/>
              </w:rPr>
              <w:t>包含医院实时的人才招聘信息</w:t>
            </w:r>
          </w:p>
        </w:tc>
      </w:tr>
      <w:tr w14:paraId="06261FE7">
        <w:tblPrEx>
          <w:tblBorders>
            <w:top w:val="single" w:color="E7E6E6" w:sz="4" w:space="0"/>
            <w:left w:val="single" w:color="E7E6E6" w:sz="4" w:space="0"/>
            <w:bottom w:val="single" w:color="E7E6E6" w:sz="4" w:space="0"/>
            <w:right w:val="single" w:color="E7E6E6" w:sz="4" w:space="0"/>
            <w:insideH w:val="single" w:color="E7E6E6" w:sz="4" w:space="0"/>
            <w:insideV w:val="single" w:color="E7E6E6" w:sz="4" w:space="0"/>
          </w:tblBorders>
          <w:tblCellMar>
            <w:top w:w="0" w:type="dxa"/>
            <w:left w:w="57" w:type="dxa"/>
            <w:bottom w:w="0" w:type="dxa"/>
            <w:right w:w="0" w:type="dxa"/>
          </w:tblCellMar>
        </w:tblPrEx>
        <w:tc>
          <w:tcPr>
            <w:tcW w:w="1016" w:type="dxa"/>
            <w:tcBorders>
              <w:tl2br w:val="nil"/>
              <w:tr2bl w:val="nil"/>
            </w:tcBorders>
            <w:shd w:val="clear" w:color="auto" w:fill="FFFFFF"/>
            <w:vAlign w:val="center"/>
          </w:tcPr>
          <w:p w14:paraId="5B6811B8">
            <w:pPr>
              <w:widowControl/>
              <w:shd w:val="clear" w:color="auto" w:fill="FFFFFF"/>
              <w:spacing w:line="420" w:lineRule="atLeast"/>
              <w:jc w:val="center"/>
              <w:rPr>
                <w:rFonts w:hint="eastAsia" w:ascii="宋体" w:hAnsi="宋体" w:eastAsia="宋体" w:cs="宋体"/>
                <w:b/>
                <w:kern w:val="0"/>
                <w:sz w:val="21"/>
                <w:szCs w:val="21"/>
              </w:rPr>
            </w:pPr>
            <w:r>
              <w:rPr>
                <w:rFonts w:hint="eastAsia" w:ascii="宋体" w:hAnsi="宋体" w:eastAsia="宋体" w:cs="宋体"/>
                <w:b/>
                <w:kern w:val="0"/>
                <w:sz w:val="21"/>
                <w:szCs w:val="21"/>
              </w:rPr>
              <w:t>英文版</w:t>
            </w:r>
          </w:p>
        </w:tc>
        <w:tc>
          <w:tcPr>
            <w:tcW w:w="1630" w:type="dxa"/>
            <w:tcBorders>
              <w:tl2br w:val="nil"/>
              <w:tr2bl w:val="nil"/>
            </w:tcBorders>
            <w:shd w:val="clear" w:color="auto" w:fill="FFFFFF"/>
            <w:vAlign w:val="center"/>
          </w:tcPr>
          <w:p w14:paraId="0DF92CF2">
            <w:pPr>
              <w:widowControl/>
              <w:shd w:val="clear" w:color="auto" w:fill="FFFFFF"/>
              <w:spacing w:line="420" w:lineRule="atLeast"/>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主要展示</w:t>
            </w:r>
          </w:p>
        </w:tc>
        <w:tc>
          <w:tcPr>
            <w:tcW w:w="6404" w:type="dxa"/>
            <w:tcBorders>
              <w:tl2br w:val="nil"/>
              <w:tr2bl w:val="nil"/>
            </w:tcBorders>
            <w:shd w:val="clear" w:color="auto" w:fill="FFFFFF"/>
            <w:vAlign w:val="center"/>
          </w:tcPr>
          <w:p w14:paraId="531E4BFA">
            <w:pPr>
              <w:widowControl/>
              <w:shd w:val="clear" w:color="auto" w:fill="FFFFFF"/>
              <w:spacing w:line="420" w:lineRule="atLeast"/>
              <w:jc w:val="left"/>
              <w:rPr>
                <w:rFonts w:hint="eastAsia" w:ascii="宋体" w:hAnsi="宋体" w:eastAsia="宋体" w:cs="宋体"/>
                <w:kern w:val="0"/>
                <w:sz w:val="21"/>
                <w:szCs w:val="21"/>
                <w:lang w:eastAsia="zh-CN"/>
              </w:rPr>
            </w:pPr>
            <w:r>
              <w:rPr>
                <w:rFonts w:hint="eastAsia" w:cs="宋体"/>
                <w:kern w:val="0"/>
                <w:sz w:val="21"/>
                <w:szCs w:val="21"/>
                <w:lang w:eastAsia="zh-CN"/>
              </w:rPr>
              <w:t>按照中文版的形式进行调整，保留重要栏目</w:t>
            </w:r>
          </w:p>
        </w:tc>
      </w:tr>
    </w:tbl>
    <w:p w14:paraId="52B4950B">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val="0"/>
          <w:bCs/>
          <w:sz w:val="21"/>
        </w:rPr>
      </w:pPr>
    </w:p>
    <w:p w14:paraId="301D2786">
      <w:pPr>
        <w:pStyle w:val="5"/>
        <w:spacing w:before="9"/>
        <w:rPr>
          <w:b/>
          <w:sz w:val="4"/>
        </w:rPr>
      </w:pPr>
    </w:p>
    <w:p w14:paraId="12F0A223">
      <w:pPr>
        <w:tabs>
          <w:tab w:val="left" w:pos="1238"/>
        </w:tabs>
        <w:spacing w:line="269" w:lineRule="exact"/>
        <w:ind w:left="398"/>
        <w:rPr>
          <w:b/>
          <w:sz w:val="21"/>
        </w:rPr>
      </w:pPr>
      <w:r>
        <w:rPr>
          <w:b/>
          <w:sz w:val="21"/>
        </w:rPr>
        <w:t>三、</w:t>
      </w:r>
      <w:r>
        <w:rPr>
          <w:b/>
          <w:sz w:val="21"/>
        </w:rPr>
        <w:tab/>
      </w:r>
      <w:r>
        <w:rPr>
          <w:b/>
          <w:sz w:val="21"/>
        </w:rPr>
        <w:t>技术要求</w:t>
      </w:r>
    </w:p>
    <w:p w14:paraId="367EE0F7">
      <w:pPr>
        <w:pStyle w:val="5"/>
        <w:spacing w:before="7"/>
        <w:rPr>
          <w:b/>
          <w:sz w:val="15"/>
        </w:rPr>
      </w:pPr>
    </w:p>
    <w:p w14:paraId="31CA4F8E">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1、整体风格一致：确保各栏目和内容的连贯性，维护整体视觉和体验的一致性。</w:t>
      </w:r>
    </w:p>
    <w:p w14:paraId="1E4062A7">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2、页面简洁大方：设计要简洁美观，便于用户浏览和使用。</w:t>
      </w:r>
    </w:p>
    <w:p w14:paraId="373B6BB0">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3、灵活可扩展：构建在方便、灵活的可扩展平台基础上，以便于未来的功能扩展和更新。</w:t>
      </w:r>
    </w:p>
    <w:p w14:paraId="2495D062">
      <w:pPr>
        <w:keepNext w:val="0"/>
        <w:keepLines w:val="0"/>
        <w:pageBreakBefore w:val="0"/>
        <w:widowControl w:val="0"/>
        <w:kinsoku/>
        <w:wordWrap/>
        <w:overflowPunct/>
        <w:topLinePunct w:val="0"/>
        <w:autoSpaceDE w:val="0"/>
        <w:autoSpaceDN w:val="0"/>
        <w:bidi w:val="0"/>
        <w:adjustRightInd/>
        <w:snapToGrid/>
        <w:spacing w:line="440" w:lineRule="exact"/>
        <w:ind w:left="397"/>
        <w:textAlignment w:val="auto"/>
        <w:rPr>
          <w:rFonts w:hint="eastAsia"/>
          <w:b w:val="0"/>
          <w:bCs/>
          <w:sz w:val="21"/>
        </w:rPr>
      </w:pPr>
      <w:r>
        <w:rPr>
          <w:rFonts w:hint="eastAsia"/>
          <w:b w:val="0"/>
          <w:bCs/>
          <w:sz w:val="21"/>
        </w:rPr>
        <w:t>4、技术先进：采用先进的技术，紧跟时代发展潮流，遵循行业标准和规范。</w:t>
      </w:r>
    </w:p>
    <w:p w14:paraId="594E93A5">
      <w:pPr>
        <w:keepNext w:val="0"/>
        <w:keepLines w:val="0"/>
        <w:pageBreakBefore w:val="0"/>
        <w:widowControl w:val="0"/>
        <w:kinsoku/>
        <w:wordWrap/>
        <w:overflowPunct/>
        <w:topLinePunct w:val="0"/>
        <w:autoSpaceDE w:val="0"/>
        <w:autoSpaceDN w:val="0"/>
        <w:bidi w:val="0"/>
        <w:adjustRightInd/>
        <w:snapToGrid/>
        <w:spacing w:line="440" w:lineRule="exact"/>
        <w:ind w:left="397"/>
        <w:jc w:val="both"/>
        <w:textAlignment w:val="auto"/>
        <w:rPr>
          <w:rFonts w:hint="eastAsia"/>
          <w:b w:val="0"/>
          <w:bCs/>
          <w:sz w:val="21"/>
        </w:rPr>
      </w:pPr>
      <w:r>
        <w:rPr>
          <w:rFonts w:hint="eastAsia"/>
          <w:b w:val="0"/>
          <w:bCs/>
          <w:sz w:val="21"/>
        </w:rPr>
        <w:t>5、安全保密：确保系统与信息的安全性和保密性，保护用户和医院的数据安全。</w:t>
      </w:r>
    </w:p>
    <w:p w14:paraId="3402A7CD">
      <w:pPr>
        <w:pStyle w:val="5"/>
        <w:rPr>
          <w:rFonts w:hint="eastAsia"/>
        </w:rPr>
      </w:pPr>
    </w:p>
    <w:p w14:paraId="2E0B31AC">
      <w:pPr>
        <w:keepNext w:val="0"/>
        <w:keepLines w:val="0"/>
        <w:pageBreakBefore w:val="0"/>
        <w:widowControl w:val="0"/>
        <w:tabs>
          <w:tab w:val="left" w:pos="1238"/>
        </w:tabs>
        <w:kinsoku/>
        <w:wordWrap/>
        <w:overflowPunct/>
        <w:topLinePunct w:val="0"/>
        <w:autoSpaceDE w:val="0"/>
        <w:autoSpaceDN w:val="0"/>
        <w:bidi w:val="0"/>
        <w:adjustRightInd/>
        <w:snapToGrid/>
        <w:spacing w:line="440" w:lineRule="exact"/>
        <w:ind w:left="398"/>
        <w:textAlignment w:val="auto"/>
        <w:rPr>
          <w:b/>
          <w:sz w:val="21"/>
        </w:rPr>
      </w:pPr>
      <w:r>
        <w:rPr>
          <w:b/>
          <w:sz w:val="21"/>
        </w:rPr>
        <w:t>四、</w:t>
      </w:r>
      <w:r>
        <w:rPr>
          <w:b/>
          <w:sz w:val="21"/>
        </w:rPr>
        <w:tab/>
      </w:r>
      <w:r>
        <w:rPr>
          <w:b/>
          <w:sz w:val="21"/>
        </w:rPr>
        <w:t>服务要求</w:t>
      </w:r>
    </w:p>
    <w:p w14:paraId="2D27089C">
      <w:pPr>
        <w:keepNext w:val="0"/>
        <w:keepLines w:val="0"/>
        <w:pageBreakBefore w:val="0"/>
        <w:widowControl w:val="0"/>
        <w:kinsoku/>
        <w:wordWrap/>
        <w:overflowPunct/>
        <w:topLinePunct w:val="0"/>
        <w:autoSpaceDE w:val="0"/>
        <w:autoSpaceDN w:val="0"/>
        <w:bidi w:val="0"/>
        <w:adjustRightInd/>
        <w:snapToGrid/>
        <w:spacing w:line="440" w:lineRule="exact"/>
        <w:ind w:left="420"/>
        <w:textAlignment w:val="auto"/>
        <w:rPr>
          <w:rFonts w:hint="eastAsia" w:ascii="宋体" w:hAnsi="宋体" w:eastAsia="宋体" w:cs="宋体"/>
          <w:b/>
          <w:bCs/>
          <w:sz w:val="21"/>
          <w:szCs w:val="21"/>
        </w:rPr>
      </w:pPr>
      <w:r>
        <w:rPr>
          <w:rFonts w:hint="eastAsia" w:ascii="宋体" w:hAnsi="宋体" w:eastAsia="宋体" w:cs="宋体"/>
          <w:b/>
          <w:bCs/>
          <w:sz w:val="21"/>
          <w:szCs w:val="21"/>
        </w:rPr>
        <w:t>人员培训：</w:t>
      </w:r>
    </w:p>
    <w:p w14:paraId="3773B0D0">
      <w:pPr>
        <w:pStyle w:val="17"/>
        <w:numPr>
          <w:ilvl w:val="0"/>
          <w:numId w:val="8"/>
        </w:numPr>
        <w:spacing w:line="360" w:lineRule="auto"/>
        <w:rPr>
          <w:rFonts w:hint="eastAsia" w:ascii="宋体" w:hAnsi="宋体" w:eastAsia="宋体" w:cs="宋体"/>
          <w:sz w:val="21"/>
          <w:szCs w:val="21"/>
        </w:rPr>
      </w:pPr>
      <w:r>
        <w:rPr>
          <w:rFonts w:hint="eastAsia" w:ascii="宋体" w:hAnsi="宋体" w:eastAsia="宋体" w:cs="宋体"/>
          <w:sz w:val="21"/>
          <w:szCs w:val="21"/>
        </w:rPr>
        <w:t>为保障网站顺利运行，应进行相关培训安排。</w:t>
      </w:r>
    </w:p>
    <w:p w14:paraId="16EFC08C">
      <w:pPr>
        <w:pStyle w:val="17"/>
        <w:numPr>
          <w:ilvl w:val="0"/>
          <w:numId w:val="8"/>
        </w:numPr>
        <w:spacing w:line="360" w:lineRule="auto"/>
        <w:rPr>
          <w:rFonts w:hint="eastAsia" w:ascii="宋体" w:hAnsi="宋体" w:eastAsia="宋体" w:cs="宋体"/>
          <w:sz w:val="21"/>
          <w:szCs w:val="21"/>
        </w:rPr>
      </w:pPr>
      <w:r>
        <w:rPr>
          <w:rFonts w:hint="eastAsia" w:ascii="宋体" w:hAnsi="宋体" w:eastAsia="宋体" w:cs="宋体"/>
          <w:sz w:val="21"/>
          <w:szCs w:val="21"/>
        </w:rPr>
        <w:t>对网站管理员的培训时间应不少于5天，培训名额不少于2名。</w:t>
      </w:r>
    </w:p>
    <w:p w14:paraId="0A475A29">
      <w:pPr>
        <w:pStyle w:val="17"/>
        <w:numPr>
          <w:ilvl w:val="0"/>
          <w:numId w:val="8"/>
        </w:numPr>
        <w:spacing w:line="360" w:lineRule="auto"/>
        <w:rPr>
          <w:rFonts w:hint="eastAsia" w:ascii="宋体" w:hAnsi="宋体" w:eastAsia="宋体" w:cs="宋体"/>
          <w:sz w:val="21"/>
          <w:szCs w:val="21"/>
        </w:rPr>
      </w:pPr>
      <w:r>
        <w:rPr>
          <w:rFonts w:hint="eastAsia" w:ascii="宋体" w:hAnsi="宋体" w:eastAsia="宋体" w:cs="宋体"/>
          <w:sz w:val="21"/>
          <w:szCs w:val="21"/>
        </w:rPr>
        <w:t>对所有相关的软件操作员进行现场培训，时间不应少于1天，以使操作员尽快适应软件。</w:t>
      </w:r>
    </w:p>
    <w:p w14:paraId="343DA7EF">
      <w:pPr>
        <w:spacing w:line="360" w:lineRule="auto"/>
        <w:ind w:left="420"/>
        <w:rPr>
          <w:rFonts w:hint="eastAsia" w:ascii="宋体" w:hAnsi="宋体" w:eastAsia="宋体" w:cs="宋体"/>
          <w:b/>
          <w:bCs/>
          <w:sz w:val="21"/>
          <w:szCs w:val="21"/>
        </w:rPr>
      </w:pPr>
      <w:r>
        <w:rPr>
          <w:rFonts w:hint="eastAsia" w:ascii="宋体" w:hAnsi="宋体" w:eastAsia="宋体" w:cs="宋体"/>
          <w:b/>
          <w:bCs/>
          <w:sz w:val="21"/>
          <w:szCs w:val="21"/>
        </w:rPr>
        <w:t>售后服务：</w:t>
      </w:r>
    </w:p>
    <w:p w14:paraId="6916BB48">
      <w:pPr>
        <w:pStyle w:val="17"/>
        <w:numPr>
          <w:ilvl w:val="0"/>
          <w:numId w:val="9"/>
        </w:numPr>
        <w:spacing w:line="360" w:lineRule="auto"/>
        <w:rPr>
          <w:rFonts w:hint="eastAsia" w:ascii="宋体" w:hAnsi="宋体" w:eastAsia="宋体" w:cs="宋体"/>
          <w:sz w:val="21"/>
          <w:szCs w:val="21"/>
        </w:rPr>
      </w:pPr>
      <w:r>
        <w:rPr>
          <w:rFonts w:hint="eastAsia" w:ascii="宋体" w:hAnsi="宋体" w:eastAsia="宋体" w:cs="宋体"/>
          <w:sz w:val="21"/>
          <w:szCs w:val="21"/>
        </w:rPr>
        <w:t>免费技术支持服务：验收合格后，提供至少1年免费技术支持服务，包括但不限于技术支持、提醒通知、软件安装、网站安全检测和设置、服务器安全检测和设置、网站被黑后的恢复及防范服务等。服务期限内所有服务内容无次数限制。</w:t>
      </w:r>
    </w:p>
    <w:p w14:paraId="784C1D0B">
      <w:pPr>
        <w:pStyle w:val="17"/>
        <w:numPr>
          <w:ilvl w:val="0"/>
          <w:numId w:val="9"/>
        </w:numPr>
        <w:spacing w:line="360" w:lineRule="auto"/>
        <w:rPr>
          <w:rFonts w:hint="eastAsia" w:ascii="宋体" w:hAnsi="宋体" w:eastAsia="宋体" w:cs="宋体"/>
          <w:sz w:val="21"/>
          <w:szCs w:val="21"/>
        </w:rPr>
      </w:pPr>
      <w:r>
        <w:rPr>
          <w:rFonts w:hint="eastAsia" w:ascii="宋体" w:hAnsi="宋体" w:eastAsia="宋体" w:cs="宋体"/>
          <w:sz w:val="21"/>
          <w:szCs w:val="21"/>
        </w:rPr>
        <w:t>开发人员支持：在1年免费维护期内，中标方需提供开发人员1人无缝对接技术支持，包括驻地技术服务和网站操作培训。</w:t>
      </w:r>
    </w:p>
    <w:p w14:paraId="49943730">
      <w:pPr>
        <w:pStyle w:val="17"/>
        <w:numPr>
          <w:ilvl w:val="0"/>
          <w:numId w:val="9"/>
        </w:numPr>
        <w:spacing w:line="360" w:lineRule="auto"/>
        <w:rPr>
          <w:rFonts w:ascii="Times New Roman" w:hAnsi="Times New Roman" w:eastAsia="宋体" w:cs="Times New Roman"/>
          <w:szCs w:val="24"/>
        </w:rPr>
      </w:pPr>
      <w:r>
        <w:rPr>
          <w:rFonts w:hint="eastAsia" w:ascii="宋体" w:hAnsi="宋体" w:eastAsia="宋体" w:cs="宋体"/>
          <w:sz w:val="21"/>
          <w:szCs w:val="21"/>
        </w:rPr>
        <w:t>技术支持服务：提供7×8小时技术支持服务，保障网站平台正常运行。提供免费7×24小时电话技术支持。如遇重大技术问题，应及时组织专家进行会诊，并在4小时内采取措施，确保系统在出现故障后12小时内恢复正常运行。</w:t>
      </w:r>
    </w:p>
    <w:p w14:paraId="6044304C">
      <w:pPr>
        <w:pStyle w:val="17"/>
        <w:numPr>
          <w:ilvl w:val="0"/>
          <w:numId w:val="9"/>
        </w:numPr>
        <w:spacing w:line="360" w:lineRule="auto"/>
        <w:rPr>
          <w:rFonts w:ascii="Times New Roman" w:hAnsi="Times New Roman" w:eastAsia="宋体" w:cs="Times New Roman"/>
          <w:sz w:val="21"/>
          <w:szCs w:val="21"/>
        </w:rPr>
      </w:pPr>
      <w:r>
        <w:rPr>
          <w:rFonts w:hint="eastAsia" w:cs="宋体"/>
          <w:sz w:val="21"/>
          <w:szCs w:val="21"/>
          <w:lang w:eastAsia="zh-CN"/>
        </w:rPr>
        <w:t>内容支持服务：提供题图、焦点图、海报等设计支持；根据医院需求及时优化更新网站前端和后台设置，如增减科室、栏目、功能等（未超出原建设框架）。</w:t>
      </w:r>
    </w:p>
    <w:p w14:paraId="2DBD15D6">
      <w:pPr>
        <w:pStyle w:val="17"/>
        <w:numPr>
          <w:ilvl w:val="0"/>
          <w:numId w:val="9"/>
        </w:numPr>
        <w:spacing w:line="360" w:lineRule="auto"/>
        <w:rPr>
          <w:rFonts w:ascii="Times New Roman" w:hAnsi="Times New Roman" w:eastAsia="宋体" w:cs="Times New Roman"/>
          <w:sz w:val="21"/>
          <w:szCs w:val="21"/>
        </w:rPr>
      </w:pPr>
      <w:r>
        <w:rPr>
          <w:rFonts w:hint="eastAsia" w:ascii="Times New Roman" w:hAnsi="Times New Roman" w:eastAsia="宋体" w:cs="Times New Roman"/>
          <w:sz w:val="21"/>
          <w:szCs w:val="21"/>
        </w:rPr>
        <w:t>配合院方通过等保二级以上的测评检查</w:t>
      </w:r>
      <w:r>
        <w:rPr>
          <w:rFonts w:hint="eastAsia" w:ascii="Times New Roman" w:hAnsi="Times New Roman" w:cs="Times New Roman"/>
          <w:sz w:val="21"/>
          <w:szCs w:val="21"/>
          <w:lang w:eastAsia="zh-CN"/>
        </w:rPr>
        <w:t>。</w:t>
      </w:r>
    </w:p>
    <w:p w14:paraId="7C929220">
      <w:pPr>
        <w:pStyle w:val="17"/>
        <w:numPr>
          <w:ilvl w:val="0"/>
          <w:numId w:val="9"/>
        </w:numPr>
        <w:spacing w:line="360" w:lineRule="auto"/>
        <w:rPr>
          <w:rFonts w:ascii="Times New Roman" w:hAnsi="Times New Roman" w:eastAsia="宋体" w:cs="Times New Roman"/>
          <w:szCs w:val="24"/>
        </w:rPr>
      </w:pPr>
      <w:r>
        <w:rPr>
          <w:rFonts w:hint="eastAsia" w:ascii="宋体" w:hAnsi="宋体" w:eastAsia="宋体" w:cs="宋体"/>
          <w:sz w:val="21"/>
          <w:szCs w:val="21"/>
          <w:lang w:val="en-US" w:eastAsia="zh-Hans"/>
        </w:rPr>
        <w:t>项目验收以完整代码交付为基础</w:t>
      </w:r>
      <w:r>
        <w:rPr>
          <w:rFonts w:hint="default" w:ascii="宋体" w:hAnsi="宋体" w:eastAsia="宋体" w:cs="宋体"/>
          <w:sz w:val="21"/>
          <w:szCs w:val="21"/>
          <w:lang w:eastAsia="zh-Hans"/>
        </w:rPr>
        <w:t>。</w:t>
      </w:r>
    </w:p>
    <w:p w14:paraId="1E2A2E8E">
      <w:pPr>
        <w:pStyle w:val="5"/>
        <w:spacing w:before="8"/>
        <w:rPr>
          <w:sz w:val="15"/>
        </w:rPr>
      </w:pPr>
    </w:p>
    <w:p w14:paraId="6BF83D0F">
      <w:pPr>
        <w:tabs>
          <w:tab w:val="left" w:pos="1238"/>
        </w:tabs>
        <w:ind w:left="398"/>
        <w:rPr>
          <w:b/>
          <w:sz w:val="21"/>
        </w:rPr>
      </w:pPr>
      <w:r>
        <w:rPr>
          <w:rFonts w:hint="eastAsia"/>
          <w:b/>
          <w:sz w:val="21"/>
          <w:lang w:eastAsia="zh-CN"/>
        </w:rPr>
        <w:t>五</w:t>
      </w:r>
      <w:r>
        <w:rPr>
          <w:b/>
          <w:sz w:val="21"/>
        </w:rPr>
        <w:t>、</w:t>
      </w:r>
      <w:r>
        <w:rPr>
          <w:b/>
          <w:sz w:val="21"/>
        </w:rPr>
        <w:tab/>
      </w:r>
      <w:r>
        <w:rPr>
          <w:b/>
          <w:sz w:val="21"/>
        </w:rPr>
        <w:t>服务期间（项目完</w:t>
      </w:r>
      <w:r>
        <w:rPr>
          <w:b/>
          <w:spacing w:val="-3"/>
          <w:sz w:val="21"/>
        </w:rPr>
        <w:t>成</w:t>
      </w:r>
      <w:r>
        <w:rPr>
          <w:b/>
          <w:sz w:val="21"/>
        </w:rPr>
        <w:t>期</w:t>
      </w:r>
      <w:r>
        <w:rPr>
          <w:b/>
          <w:spacing w:val="-3"/>
          <w:sz w:val="21"/>
        </w:rPr>
        <w:t>限</w:t>
      </w:r>
      <w:r>
        <w:rPr>
          <w:b/>
          <w:sz w:val="21"/>
        </w:rPr>
        <w:t>）</w:t>
      </w:r>
    </w:p>
    <w:p w14:paraId="79582E40">
      <w:pPr>
        <w:pStyle w:val="5"/>
        <w:spacing w:before="6"/>
        <w:rPr>
          <w:b/>
          <w:sz w:val="15"/>
        </w:rPr>
      </w:pPr>
    </w:p>
    <w:p w14:paraId="4924F9AD">
      <w:pPr>
        <w:tabs>
          <w:tab w:val="left" w:pos="1238"/>
          <w:tab w:val="left" w:pos="2935"/>
          <w:tab w:val="left" w:pos="3773"/>
          <w:tab w:val="left" w:pos="4824"/>
          <w:tab w:val="left" w:pos="5662"/>
        </w:tabs>
        <w:spacing w:line="417" w:lineRule="auto"/>
        <w:ind w:left="398" w:right="3247" w:firstLine="434"/>
        <w:rPr>
          <w:spacing w:val="-17"/>
          <w:sz w:val="21"/>
        </w:rPr>
      </w:pPr>
      <w:r>
        <w:rPr>
          <w:sz w:val="21"/>
        </w:rPr>
        <w:t>委托</w:t>
      </w:r>
      <w:r>
        <w:rPr>
          <w:spacing w:val="-3"/>
          <w:sz w:val="21"/>
        </w:rPr>
        <w:t>服</w:t>
      </w:r>
      <w:r>
        <w:rPr>
          <w:sz w:val="21"/>
        </w:rPr>
        <w:t>务</w:t>
      </w:r>
      <w:r>
        <w:rPr>
          <w:spacing w:val="-3"/>
          <w:sz w:val="21"/>
        </w:rPr>
        <w:t>期</w:t>
      </w:r>
      <w:r>
        <w:rPr>
          <w:sz w:val="21"/>
        </w:rPr>
        <w:t>间</w:t>
      </w:r>
      <w:r>
        <w:rPr>
          <w:spacing w:val="-3"/>
          <w:sz w:val="21"/>
        </w:rPr>
        <w:t>自</w:t>
      </w:r>
      <w:r>
        <w:rPr>
          <w:spacing w:val="-3"/>
          <w:sz w:val="21"/>
          <w:u w:val="single"/>
        </w:rPr>
        <w:t xml:space="preserve"> </w:t>
      </w:r>
      <w:r>
        <w:rPr>
          <w:spacing w:val="-3"/>
          <w:sz w:val="21"/>
          <w:u w:val="single"/>
        </w:rPr>
        <w:tab/>
      </w:r>
      <w:r>
        <w:rPr>
          <w:sz w:val="21"/>
        </w:rPr>
        <w:t>年</w:t>
      </w:r>
      <w:r>
        <w:rPr>
          <w:sz w:val="21"/>
          <w:u w:val="single"/>
        </w:rPr>
        <w:t xml:space="preserve"> </w:t>
      </w:r>
      <w:r>
        <w:rPr>
          <w:sz w:val="21"/>
          <w:u w:val="single"/>
        </w:rPr>
        <w:tab/>
      </w:r>
      <w:r>
        <w:rPr>
          <w:sz w:val="21"/>
        </w:rPr>
        <w:t>月至</w:t>
      </w:r>
      <w:r>
        <w:rPr>
          <w:sz w:val="21"/>
          <w:u w:val="single"/>
        </w:rPr>
        <w:t xml:space="preserve"> </w:t>
      </w:r>
      <w:r>
        <w:rPr>
          <w:sz w:val="21"/>
          <w:u w:val="single"/>
        </w:rPr>
        <w:tab/>
      </w:r>
      <w:r>
        <w:rPr>
          <w:sz w:val="21"/>
        </w:rPr>
        <w:t>年</w:t>
      </w:r>
      <w:r>
        <w:rPr>
          <w:sz w:val="21"/>
          <w:u w:val="single"/>
        </w:rPr>
        <w:t xml:space="preserve"> </w:t>
      </w:r>
      <w:r>
        <w:rPr>
          <w:sz w:val="21"/>
          <w:u w:val="single"/>
        </w:rPr>
        <w:tab/>
      </w:r>
      <w:r>
        <w:rPr>
          <w:sz w:val="21"/>
        </w:rPr>
        <w:t>月止</w:t>
      </w:r>
      <w:r>
        <w:rPr>
          <w:spacing w:val="-17"/>
          <w:sz w:val="21"/>
        </w:rPr>
        <w:t>。</w:t>
      </w:r>
    </w:p>
    <w:p w14:paraId="23699FAA">
      <w:pPr>
        <w:tabs>
          <w:tab w:val="left" w:pos="1238"/>
          <w:tab w:val="left" w:pos="2935"/>
          <w:tab w:val="left" w:pos="3773"/>
          <w:tab w:val="left" w:pos="4824"/>
          <w:tab w:val="left" w:pos="5662"/>
        </w:tabs>
        <w:spacing w:line="417" w:lineRule="auto"/>
        <w:ind w:right="3247" w:firstLine="354" w:firstLineChars="200"/>
        <w:rPr>
          <w:b/>
          <w:sz w:val="21"/>
        </w:rPr>
      </w:pPr>
      <w:r>
        <w:rPr>
          <w:rFonts w:hint="eastAsia"/>
          <w:b/>
          <w:bCs/>
          <w:spacing w:val="-17"/>
          <w:sz w:val="21"/>
          <w:lang w:eastAsia="zh-CN"/>
        </w:rPr>
        <w:t>六</w:t>
      </w:r>
      <w:r>
        <w:rPr>
          <w:b/>
          <w:bCs/>
          <w:sz w:val="21"/>
        </w:rPr>
        <w:t>、</w:t>
      </w:r>
      <w:r>
        <w:rPr>
          <w:b/>
          <w:sz w:val="21"/>
        </w:rPr>
        <w:tab/>
      </w:r>
      <w:r>
        <w:rPr>
          <w:b/>
          <w:sz w:val="21"/>
        </w:rPr>
        <w:t>付款方式</w:t>
      </w:r>
    </w:p>
    <w:p w14:paraId="1F65E511">
      <w:pPr>
        <w:pStyle w:val="5"/>
        <w:spacing w:line="269" w:lineRule="exact"/>
        <w:ind w:left="818"/>
      </w:pPr>
      <w:r>
        <w:t>由甲方按下列程序付款。</w:t>
      </w:r>
    </w:p>
    <w:p w14:paraId="7903E7BB">
      <w:pPr>
        <w:numPr>
          <w:ilvl w:val="0"/>
          <w:numId w:val="0"/>
        </w:numPr>
        <w:snapToGrid w:val="0"/>
        <w:spacing w:line="360" w:lineRule="auto"/>
        <w:ind w:firstLine="420" w:firstLineChars="200"/>
        <w:textAlignment w:val="bottom"/>
        <w:rPr>
          <w:rStyle w:val="18"/>
          <w:rFonts w:hint="default" w:ascii="宋体" w:hAnsi="宋体"/>
          <w:b w:val="0"/>
          <w:bCs/>
          <w:sz w:val="21"/>
          <w:szCs w:val="21"/>
          <w:u w:val="none" w:color="auto"/>
          <w:lang w:eastAsia="zh-Hans"/>
        </w:rPr>
      </w:pPr>
      <w:r>
        <w:rPr>
          <w:rStyle w:val="18"/>
          <w:rFonts w:hint="default" w:ascii="宋体" w:hAnsi="宋体"/>
          <w:b w:val="0"/>
          <w:bCs/>
          <w:sz w:val="21"/>
          <w:szCs w:val="21"/>
          <w:u w:val="none" w:color="auto"/>
          <w:lang w:eastAsia="zh-Hans"/>
        </w:rPr>
        <w:t>1、</w:t>
      </w:r>
      <w:r>
        <w:rPr>
          <w:rStyle w:val="18"/>
          <w:rFonts w:hint="eastAsia" w:ascii="宋体" w:hAnsi="宋体"/>
          <w:b w:val="0"/>
          <w:bCs/>
          <w:sz w:val="21"/>
          <w:szCs w:val="21"/>
          <w:u w:val="none" w:color="auto"/>
          <w:lang w:val="en-US" w:eastAsia="zh-Hans"/>
        </w:rPr>
        <w:t>付款比例</w:t>
      </w:r>
      <w:r>
        <w:rPr>
          <w:rStyle w:val="18"/>
          <w:rFonts w:hint="default" w:ascii="宋体" w:hAnsi="宋体"/>
          <w:b w:val="0"/>
          <w:bCs/>
          <w:sz w:val="21"/>
          <w:szCs w:val="21"/>
          <w:u w:val="none" w:color="auto"/>
          <w:lang w:eastAsia="zh-Hans"/>
        </w:rPr>
        <w:t>：</w:t>
      </w:r>
    </w:p>
    <w:p w14:paraId="47F9FFA8">
      <w:pPr>
        <w:numPr>
          <w:ilvl w:val="0"/>
          <w:numId w:val="0"/>
        </w:numPr>
        <w:snapToGrid w:val="0"/>
        <w:spacing w:line="360" w:lineRule="auto"/>
        <w:ind w:firstLine="420" w:firstLineChars="200"/>
        <w:textAlignment w:val="bottom"/>
        <w:rPr>
          <w:rStyle w:val="18"/>
          <w:rFonts w:ascii="宋体" w:hAnsi="宋体"/>
          <w:b w:val="0"/>
          <w:bCs/>
          <w:sz w:val="21"/>
          <w:szCs w:val="21"/>
          <w:u w:val="none" w:color="auto"/>
        </w:rPr>
      </w:pPr>
      <w:r>
        <w:rPr>
          <w:rStyle w:val="18"/>
          <w:rFonts w:ascii="宋体" w:hAnsi="宋体"/>
          <w:b w:val="0"/>
          <w:bCs/>
          <w:sz w:val="21"/>
          <w:szCs w:val="21"/>
          <w:u w:val="none" w:color="auto"/>
        </w:rPr>
        <w:t>（</w:t>
      </w:r>
      <w:r>
        <w:rPr>
          <w:rStyle w:val="18"/>
          <w:rFonts w:hint="default" w:ascii="宋体" w:hAnsi="宋体"/>
          <w:b w:val="0"/>
          <w:bCs/>
          <w:sz w:val="21"/>
          <w:szCs w:val="21"/>
          <w:u w:val="none" w:color="auto"/>
        </w:rPr>
        <w:t>1</w:t>
      </w:r>
      <w:r>
        <w:rPr>
          <w:rStyle w:val="18"/>
          <w:rFonts w:ascii="宋体" w:hAnsi="宋体"/>
          <w:b w:val="0"/>
          <w:bCs/>
          <w:sz w:val="21"/>
          <w:szCs w:val="21"/>
          <w:u w:val="none" w:color="auto"/>
        </w:rPr>
        <w:t>）</w:t>
      </w:r>
      <w:r>
        <w:rPr>
          <w:rFonts w:hint="eastAsia"/>
          <w:spacing w:val="-6"/>
          <w:sz w:val="21"/>
          <w:u w:val="none" w:color="auto"/>
          <w:lang w:val="en-US" w:eastAsia="zh-CN"/>
        </w:rPr>
        <w:t>甲方与乙方签订合同后</w:t>
      </w:r>
      <w:r>
        <w:rPr>
          <w:rStyle w:val="18"/>
          <w:rFonts w:ascii="宋体" w:hAnsi="宋体"/>
          <w:b w:val="0"/>
          <w:bCs/>
          <w:sz w:val="21"/>
          <w:szCs w:val="21"/>
          <w:u w:val="none" w:color="auto"/>
        </w:rPr>
        <w:t>一个月内，</w:t>
      </w:r>
      <w:r>
        <w:rPr>
          <w:rFonts w:hint="eastAsia"/>
          <w:spacing w:val="-6"/>
          <w:sz w:val="21"/>
          <w:u w:val="none" w:color="auto"/>
          <w:lang w:val="en-US" w:eastAsia="zh-CN"/>
        </w:rPr>
        <w:t>甲方</w:t>
      </w:r>
      <w:r>
        <w:rPr>
          <w:rStyle w:val="18"/>
          <w:rFonts w:hint="eastAsia"/>
          <w:b w:val="0"/>
          <w:bCs/>
          <w:sz w:val="21"/>
          <w:szCs w:val="21"/>
          <w:u w:val="none" w:color="auto"/>
          <w:lang w:val="en-US" w:eastAsia="zh-CN"/>
        </w:rPr>
        <w:t>向</w:t>
      </w:r>
      <w:r>
        <w:rPr>
          <w:rFonts w:hint="eastAsia"/>
          <w:spacing w:val="-6"/>
          <w:sz w:val="21"/>
          <w:u w:val="none" w:color="auto"/>
          <w:lang w:val="en-US" w:eastAsia="zh-CN"/>
        </w:rPr>
        <w:t>乙方</w:t>
      </w:r>
      <w:r>
        <w:rPr>
          <w:rStyle w:val="18"/>
          <w:rFonts w:ascii="宋体" w:hAnsi="宋体"/>
          <w:b w:val="0"/>
          <w:bCs/>
          <w:sz w:val="21"/>
          <w:szCs w:val="21"/>
          <w:u w:val="none" w:color="auto"/>
        </w:rPr>
        <w:t>支付合同总价</w:t>
      </w:r>
      <w:r>
        <w:rPr>
          <w:rStyle w:val="18"/>
          <w:rFonts w:hint="default"/>
          <w:b w:val="0"/>
          <w:bCs/>
          <w:sz w:val="21"/>
          <w:szCs w:val="21"/>
          <w:u w:val="none" w:color="auto"/>
        </w:rPr>
        <w:t>50</w:t>
      </w:r>
      <w:r>
        <w:rPr>
          <w:rStyle w:val="18"/>
          <w:rFonts w:ascii="宋体" w:hAnsi="宋体"/>
          <w:b w:val="0"/>
          <w:bCs/>
          <w:sz w:val="21"/>
          <w:szCs w:val="21"/>
          <w:u w:val="none" w:color="auto"/>
        </w:rPr>
        <w:t>％的预付款，</w:t>
      </w:r>
      <w:r>
        <w:rPr>
          <w:rFonts w:hint="eastAsia"/>
          <w:spacing w:val="-6"/>
          <w:sz w:val="21"/>
          <w:u w:val="none" w:color="auto"/>
          <w:lang w:val="en-US" w:eastAsia="zh-CN"/>
        </w:rPr>
        <w:t>乙方</w:t>
      </w:r>
      <w:r>
        <w:rPr>
          <w:rStyle w:val="18"/>
          <w:rFonts w:hint="eastAsia"/>
          <w:b w:val="0"/>
          <w:bCs/>
          <w:sz w:val="21"/>
          <w:szCs w:val="21"/>
          <w:u w:val="none" w:color="auto"/>
          <w:lang w:val="en-US" w:eastAsia="zh-CN"/>
        </w:rPr>
        <w:t>向</w:t>
      </w:r>
      <w:r>
        <w:rPr>
          <w:rFonts w:hint="eastAsia"/>
          <w:spacing w:val="-6"/>
          <w:sz w:val="21"/>
          <w:u w:val="none" w:color="auto"/>
          <w:lang w:val="en-US" w:eastAsia="zh-CN"/>
        </w:rPr>
        <w:t>甲方</w:t>
      </w:r>
      <w:r>
        <w:rPr>
          <w:rStyle w:val="18"/>
          <w:rFonts w:hint="eastAsia"/>
          <w:b w:val="0"/>
          <w:bCs/>
          <w:sz w:val="21"/>
          <w:szCs w:val="21"/>
          <w:u w:val="none" w:color="auto"/>
          <w:lang w:val="en-US" w:eastAsia="zh-CN"/>
        </w:rPr>
        <w:t>开具合法有效票据及提交甲方要求的其他相关结算资料</w:t>
      </w:r>
    </w:p>
    <w:p w14:paraId="7A06F49C">
      <w:pPr>
        <w:snapToGrid w:val="0"/>
        <w:spacing w:line="360" w:lineRule="auto"/>
        <w:ind w:firstLine="420" w:firstLineChars="200"/>
        <w:textAlignment w:val="bottom"/>
        <w:rPr>
          <w:rStyle w:val="18"/>
          <w:rFonts w:hint="eastAsia" w:ascii="宋体" w:hAnsi="宋体"/>
          <w:b w:val="0"/>
          <w:bCs/>
          <w:sz w:val="21"/>
          <w:szCs w:val="21"/>
          <w:u w:val="none" w:color="auto"/>
        </w:rPr>
      </w:pPr>
      <w:r>
        <w:rPr>
          <w:rStyle w:val="18"/>
          <w:rFonts w:ascii="宋体" w:hAnsi="宋体"/>
          <w:b w:val="0"/>
          <w:bCs/>
          <w:sz w:val="21"/>
          <w:szCs w:val="21"/>
          <w:u w:val="none" w:color="auto"/>
        </w:rPr>
        <w:t>（</w:t>
      </w:r>
      <w:r>
        <w:rPr>
          <w:rStyle w:val="18"/>
          <w:rFonts w:hint="default" w:ascii="宋体" w:hAnsi="宋体"/>
          <w:b w:val="0"/>
          <w:bCs/>
          <w:sz w:val="21"/>
          <w:szCs w:val="21"/>
          <w:u w:val="none" w:color="auto"/>
        </w:rPr>
        <w:t>2</w:t>
      </w:r>
      <w:r>
        <w:rPr>
          <w:rStyle w:val="18"/>
          <w:rFonts w:ascii="宋体" w:hAnsi="宋体"/>
          <w:b w:val="0"/>
          <w:bCs/>
          <w:sz w:val="21"/>
          <w:szCs w:val="21"/>
          <w:u w:val="none" w:color="auto"/>
        </w:rPr>
        <w:t>）</w:t>
      </w:r>
      <w:r>
        <w:rPr>
          <w:rStyle w:val="18"/>
          <w:rFonts w:hint="eastAsia"/>
          <w:b w:val="0"/>
          <w:bCs/>
          <w:sz w:val="21"/>
          <w:szCs w:val="21"/>
          <w:u w:val="none" w:color="auto"/>
          <w:lang w:val="en-US" w:eastAsia="zh-CN"/>
        </w:rPr>
        <w:t>乙方完成</w:t>
      </w:r>
      <w:r>
        <w:rPr>
          <w:rStyle w:val="18"/>
          <w:rFonts w:ascii="宋体" w:hAnsi="宋体"/>
          <w:b w:val="0"/>
          <w:bCs/>
          <w:sz w:val="21"/>
          <w:szCs w:val="21"/>
          <w:u w:val="none" w:color="auto"/>
        </w:rPr>
        <w:t>升级改造</w:t>
      </w:r>
      <w:r>
        <w:rPr>
          <w:rStyle w:val="18"/>
          <w:rFonts w:hint="eastAsia"/>
          <w:b w:val="0"/>
          <w:bCs/>
          <w:sz w:val="21"/>
          <w:szCs w:val="21"/>
          <w:u w:val="none" w:color="auto"/>
          <w:lang w:val="en-US" w:eastAsia="zh-CN"/>
        </w:rPr>
        <w:t>项目后</w:t>
      </w:r>
      <w:r>
        <w:rPr>
          <w:rStyle w:val="18"/>
          <w:rFonts w:ascii="宋体" w:hAnsi="宋体"/>
          <w:b w:val="0"/>
          <w:bCs/>
          <w:sz w:val="21"/>
          <w:szCs w:val="21"/>
          <w:u w:val="none" w:color="auto"/>
        </w:rPr>
        <w:t>，经</w:t>
      </w:r>
      <w:r>
        <w:rPr>
          <w:rStyle w:val="18"/>
          <w:rFonts w:hint="eastAsia"/>
          <w:b w:val="0"/>
          <w:bCs/>
          <w:sz w:val="21"/>
          <w:szCs w:val="21"/>
          <w:u w:val="none" w:color="auto"/>
          <w:lang w:val="en-US" w:eastAsia="zh-CN"/>
        </w:rPr>
        <w:t>双方验收合格并签字盖章后，甲方</w:t>
      </w:r>
      <w:r>
        <w:rPr>
          <w:rStyle w:val="18"/>
          <w:rFonts w:hint="eastAsia" w:ascii="宋体" w:hAnsi="宋体"/>
          <w:b w:val="0"/>
          <w:bCs/>
          <w:sz w:val="21"/>
          <w:szCs w:val="21"/>
          <w:u w:val="none" w:color="auto"/>
        </w:rPr>
        <w:t>向</w:t>
      </w:r>
      <w:r>
        <w:rPr>
          <w:rStyle w:val="18"/>
          <w:rFonts w:hint="eastAsia"/>
          <w:b w:val="0"/>
          <w:bCs/>
          <w:sz w:val="21"/>
          <w:szCs w:val="21"/>
          <w:u w:val="none" w:color="auto"/>
          <w:lang w:val="en-US" w:eastAsia="zh-CN"/>
        </w:rPr>
        <w:t>乙方</w:t>
      </w:r>
      <w:r>
        <w:rPr>
          <w:rStyle w:val="18"/>
          <w:rFonts w:hint="eastAsia" w:ascii="宋体" w:hAnsi="宋体"/>
          <w:b w:val="0"/>
          <w:bCs/>
          <w:sz w:val="21"/>
          <w:szCs w:val="21"/>
          <w:u w:val="none" w:color="auto"/>
        </w:rPr>
        <w:t>支付合同总价的40%，</w:t>
      </w:r>
      <w:r>
        <w:rPr>
          <w:rStyle w:val="18"/>
          <w:rFonts w:hint="eastAsia"/>
          <w:b w:val="0"/>
          <w:bCs/>
          <w:sz w:val="21"/>
          <w:szCs w:val="21"/>
          <w:u w:val="none" w:color="auto"/>
          <w:lang w:val="en-US" w:eastAsia="zh-CN"/>
        </w:rPr>
        <w:t>乙方</w:t>
      </w:r>
      <w:r>
        <w:rPr>
          <w:rStyle w:val="18"/>
          <w:rFonts w:hint="eastAsia" w:ascii="宋体" w:hAnsi="宋体"/>
          <w:b w:val="0"/>
          <w:bCs/>
          <w:sz w:val="21"/>
          <w:szCs w:val="21"/>
          <w:u w:val="none" w:color="auto"/>
        </w:rPr>
        <w:t>向</w:t>
      </w:r>
      <w:r>
        <w:rPr>
          <w:rStyle w:val="18"/>
          <w:rFonts w:hint="eastAsia"/>
          <w:b w:val="0"/>
          <w:bCs/>
          <w:sz w:val="21"/>
          <w:szCs w:val="21"/>
          <w:u w:val="none" w:color="auto"/>
          <w:lang w:val="en-US" w:eastAsia="zh-CN"/>
        </w:rPr>
        <w:t>甲方</w:t>
      </w:r>
      <w:r>
        <w:rPr>
          <w:rStyle w:val="18"/>
          <w:rFonts w:hint="eastAsia" w:ascii="宋体" w:hAnsi="宋体"/>
          <w:b w:val="0"/>
          <w:bCs/>
          <w:sz w:val="21"/>
          <w:szCs w:val="21"/>
          <w:u w:val="none" w:color="auto"/>
        </w:rPr>
        <w:t>开具</w:t>
      </w:r>
      <w:r>
        <w:rPr>
          <w:rStyle w:val="18"/>
          <w:rFonts w:hint="eastAsia"/>
          <w:b w:val="0"/>
          <w:bCs/>
          <w:sz w:val="21"/>
          <w:szCs w:val="21"/>
          <w:u w:val="none" w:color="auto"/>
          <w:lang w:val="en-US" w:eastAsia="zh-CN"/>
        </w:rPr>
        <w:t>合</w:t>
      </w:r>
      <w:r>
        <w:rPr>
          <w:rStyle w:val="18"/>
          <w:rFonts w:hint="eastAsia" w:ascii="宋体" w:hAnsi="宋体"/>
          <w:b w:val="0"/>
          <w:bCs/>
          <w:sz w:val="21"/>
          <w:szCs w:val="21"/>
          <w:u w:val="none" w:color="auto"/>
        </w:rPr>
        <w:t>法有效票据及提交</w:t>
      </w:r>
      <w:r>
        <w:rPr>
          <w:rStyle w:val="18"/>
          <w:rFonts w:hint="eastAsia"/>
          <w:b w:val="0"/>
          <w:bCs/>
          <w:sz w:val="21"/>
          <w:szCs w:val="21"/>
          <w:u w:val="none" w:color="auto"/>
          <w:lang w:val="en-US" w:eastAsia="zh-CN"/>
        </w:rPr>
        <w:t>甲方</w:t>
      </w:r>
      <w:r>
        <w:rPr>
          <w:rStyle w:val="18"/>
          <w:rFonts w:hint="eastAsia" w:ascii="宋体" w:hAnsi="宋体"/>
          <w:b w:val="0"/>
          <w:bCs/>
          <w:sz w:val="21"/>
          <w:szCs w:val="21"/>
          <w:u w:val="none" w:color="auto"/>
        </w:rPr>
        <w:t>要求的其它相关结算资料；</w:t>
      </w:r>
    </w:p>
    <w:p w14:paraId="6FA2E29B">
      <w:pPr>
        <w:pStyle w:val="14"/>
        <w:numPr>
          <w:ilvl w:val="0"/>
          <w:numId w:val="0"/>
        </w:numPr>
        <w:tabs>
          <w:tab w:val="left" w:pos="824"/>
        </w:tabs>
        <w:spacing w:before="139" w:line="364" w:lineRule="auto"/>
        <w:ind w:left="398" w:leftChars="0" w:right="451" w:rightChars="0"/>
        <w:jc w:val="both"/>
        <w:rPr>
          <w:rFonts w:hint="default"/>
          <w:b w:val="0"/>
          <w:bCs/>
          <w:sz w:val="21"/>
          <w:szCs w:val="21"/>
          <w:u w:val="none" w:color="auto"/>
        </w:rPr>
      </w:pPr>
      <w:r>
        <w:rPr>
          <w:rStyle w:val="18"/>
          <w:rFonts w:hint="eastAsia" w:ascii="宋体" w:hAnsi="宋体"/>
          <w:b w:val="0"/>
          <w:bCs/>
          <w:sz w:val="21"/>
          <w:szCs w:val="21"/>
          <w:u w:val="none" w:color="auto"/>
        </w:rPr>
        <w:t>（</w:t>
      </w:r>
      <w:r>
        <w:rPr>
          <w:rStyle w:val="18"/>
          <w:rFonts w:hint="default" w:ascii="宋体" w:hAnsi="宋体"/>
          <w:b w:val="0"/>
          <w:bCs/>
          <w:sz w:val="21"/>
          <w:szCs w:val="21"/>
          <w:u w:val="none" w:color="auto"/>
        </w:rPr>
        <w:t>3</w:t>
      </w:r>
      <w:r>
        <w:rPr>
          <w:rStyle w:val="18"/>
          <w:rFonts w:hint="eastAsia" w:ascii="宋体" w:hAnsi="宋体"/>
          <w:b w:val="0"/>
          <w:bCs/>
          <w:sz w:val="21"/>
          <w:szCs w:val="21"/>
          <w:u w:val="none" w:color="auto"/>
        </w:rPr>
        <w:t>）剩余</w:t>
      </w:r>
      <w:r>
        <w:rPr>
          <w:rStyle w:val="18"/>
          <w:rFonts w:ascii="宋体" w:hAnsi="宋体"/>
          <w:b w:val="0"/>
          <w:bCs/>
          <w:sz w:val="21"/>
          <w:szCs w:val="21"/>
          <w:u w:val="none" w:color="auto"/>
        </w:rPr>
        <w:t>合同总价的</w:t>
      </w:r>
      <w:r>
        <w:rPr>
          <w:rStyle w:val="18"/>
          <w:rFonts w:hint="default"/>
          <w:b w:val="0"/>
          <w:bCs/>
          <w:sz w:val="21"/>
          <w:szCs w:val="21"/>
          <w:u w:val="none" w:color="auto"/>
        </w:rPr>
        <w:t>10</w:t>
      </w:r>
      <w:r>
        <w:rPr>
          <w:rStyle w:val="18"/>
          <w:rFonts w:ascii="宋体" w:hAnsi="宋体"/>
          <w:b w:val="0"/>
          <w:bCs/>
          <w:sz w:val="21"/>
          <w:szCs w:val="21"/>
          <w:u w:val="none" w:color="auto"/>
        </w:rPr>
        <w:t>%</w:t>
      </w:r>
      <w:r>
        <w:rPr>
          <w:rStyle w:val="18"/>
          <w:rFonts w:hint="eastAsia" w:ascii="宋体" w:hAnsi="宋体"/>
          <w:b w:val="0"/>
          <w:bCs/>
          <w:sz w:val="21"/>
          <w:szCs w:val="21"/>
          <w:u w:val="none" w:color="auto"/>
        </w:rPr>
        <w:t>，</w:t>
      </w:r>
      <w:r>
        <w:rPr>
          <w:rStyle w:val="18"/>
          <w:rFonts w:ascii="宋体" w:hAnsi="宋体"/>
          <w:b w:val="0"/>
          <w:bCs/>
          <w:sz w:val="21"/>
          <w:szCs w:val="21"/>
          <w:u w:val="none" w:color="auto"/>
        </w:rPr>
        <w:t>验收合格后</w:t>
      </w:r>
      <w:r>
        <w:rPr>
          <w:rStyle w:val="18"/>
          <w:rFonts w:hint="eastAsia" w:ascii="宋体" w:hAnsi="宋体"/>
          <w:b w:val="0"/>
          <w:bCs/>
          <w:sz w:val="21"/>
          <w:szCs w:val="21"/>
          <w:u w:val="none" w:color="auto"/>
        </w:rPr>
        <w:t>满1年后全额支付（不计息）</w:t>
      </w:r>
      <w:r>
        <w:rPr>
          <w:rStyle w:val="18"/>
          <w:rFonts w:hint="default"/>
          <w:b w:val="0"/>
          <w:bCs/>
          <w:sz w:val="21"/>
          <w:szCs w:val="21"/>
          <w:u w:val="none" w:color="auto"/>
        </w:rPr>
        <w:t>；</w:t>
      </w:r>
    </w:p>
    <w:p w14:paraId="4064633C">
      <w:pPr>
        <w:pStyle w:val="14"/>
        <w:numPr>
          <w:ilvl w:val="0"/>
          <w:numId w:val="0"/>
        </w:numPr>
        <w:tabs>
          <w:tab w:val="left" w:pos="824"/>
        </w:tabs>
        <w:spacing w:line="269" w:lineRule="exact"/>
        <w:ind w:left="397" w:leftChars="0"/>
        <w:jc w:val="both"/>
        <w:rPr>
          <w:sz w:val="21"/>
        </w:rPr>
      </w:pPr>
      <w:r>
        <w:rPr>
          <w:rFonts w:hint="default"/>
          <w:spacing w:val="-3"/>
          <w:sz w:val="21"/>
        </w:rPr>
        <w:t>2、</w:t>
      </w:r>
      <w:r>
        <w:rPr>
          <w:spacing w:val="-3"/>
          <w:sz w:val="21"/>
        </w:rPr>
        <w:t>中标人凭以下有效文件与采购人结算：</w:t>
      </w:r>
    </w:p>
    <w:p w14:paraId="70A0C405">
      <w:pPr>
        <w:pStyle w:val="14"/>
        <w:numPr>
          <w:ilvl w:val="1"/>
          <w:numId w:val="11"/>
        </w:numPr>
        <w:tabs>
          <w:tab w:val="left" w:pos="1353"/>
        </w:tabs>
        <w:spacing w:before="139"/>
        <w:ind w:hanging="530"/>
        <w:rPr>
          <w:sz w:val="21"/>
        </w:rPr>
      </w:pPr>
      <w:r>
        <w:rPr>
          <w:spacing w:val="-2"/>
          <w:sz w:val="21"/>
        </w:rPr>
        <w:t>合同；</w:t>
      </w:r>
    </w:p>
    <w:p w14:paraId="785EF8FD">
      <w:pPr>
        <w:pStyle w:val="14"/>
        <w:numPr>
          <w:ilvl w:val="1"/>
          <w:numId w:val="11"/>
        </w:numPr>
        <w:tabs>
          <w:tab w:val="left" w:pos="1353"/>
        </w:tabs>
        <w:spacing w:before="142"/>
        <w:ind w:hanging="530"/>
        <w:rPr>
          <w:sz w:val="21"/>
        </w:rPr>
      </w:pPr>
      <w:r>
        <w:rPr>
          <w:spacing w:val="-3"/>
          <w:sz w:val="21"/>
        </w:rPr>
        <w:t>中标人开具的正式发票；</w:t>
      </w:r>
    </w:p>
    <w:p w14:paraId="5CEA206F">
      <w:pPr>
        <w:pStyle w:val="14"/>
        <w:numPr>
          <w:ilvl w:val="1"/>
          <w:numId w:val="11"/>
        </w:numPr>
        <w:tabs>
          <w:tab w:val="left" w:pos="1353"/>
        </w:tabs>
        <w:spacing w:before="139"/>
        <w:ind w:hanging="530"/>
        <w:rPr>
          <w:sz w:val="21"/>
        </w:rPr>
      </w:pPr>
      <w:r>
        <w:rPr>
          <w:spacing w:val="-3"/>
          <w:sz w:val="21"/>
        </w:rPr>
        <w:t>中标通知书；</w:t>
      </w:r>
    </w:p>
    <w:p w14:paraId="003605D2">
      <w:pPr>
        <w:pStyle w:val="14"/>
        <w:numPr>
          <w:ilvl w:val="1"/>
          <w:numId w:val="11"/>
        </w:numPr>
        <w:tabs>
          <w:tab w:val="left" w:pos="1353"/>
        </w:tabs>
        <w:spacing w:before="139"/>
        <w:ind w:hanging="530"/>
        <w:rPr>
          <w:sz w:val="21"/>
        </w:rPr>
      </w:pPr>
      <w:r>
        <w:rPr>
          <w:spacing w:val="-3"/>
          <w:sz w:val="21"/>
        </w:rPr>
        <w:t>采购人要求的其他相关结算资料。</w:t>
      </w:r>
    </w:p>
    <w:p w14:paraId="77046664">
      <w:pPr>
        <w:pStyle w:val="14"/>
        <w:numPr>
          <w:ilvl w:val="0"/>
          <w:numId w:val="0"/>
        </w:numPr>
        <w:tabs>
          <w:tab w:val="left" w:pos="824"/>
        </w:tabs>
        <w:spacing w:before="139" w:line="364" w:lineRule="auto"/>
        <w:ind w:right="451" w:rightChars="0" w:firstLine="408" w:firstLineChars="200"/>
        <w:jc w:val="both"/>
        <w:rPr>
          <w:sz w:val="21"/>
        </w:rPr>
      </w:pPr>
      <w:r>
        <w:rPr>
          <w:rFonts w:hint="default"/>
          <w:spacing w:val="-3"/>
          <w:sz w:val="21"/>
        </w:rPr>
        <w:t>3、</w:t>
      </w:r>
      <w:r>
        <w:rPr>
          <w:spacing w:val="-3"/>
          <w:sz w:val="21"/>
        </w:rPr>
        <w:t>因采购人使用的是财政</w:t>
      </w:r>
      <w:r>
        <w:rPr>
          <w:rFonts w:hint="eastAsia"/>
          <w:spacing w:val="-3"/>
          <w:sz w:val="21"/>
          <w:lang w:val="en-US" w:eastAsia="zh-CN"/>
        </w:rPr>
        <w:t>性</w:t>
      </w:r>
      <w:r>
        <w:rPr>
          <w:spacing w:val="-3"/>
          <w:sz w:val="21"/>
        </w:rPr>
        <w:t xml:space="preserve">资金，按照前款规定的付款时间，采购人在收到中标人发票后 </w:t>
      </w:r>
      <w:r>
        <w:rPr>
          <w:sz w:val="21"/>
        </w:rPr>
        <w:t>5 个工作日内向政府采购支付部门提出办理财政支付申请手续（不含政府财政支付部门审核的时间）</w:t>
      </w:r>
      <w:r>
        <w:rPr>
          <w:spacing w:val="-3"/>
          <w:sz w:val="21"/>
        </w:rPr>
        <w:t>，在规定时间内提出支付申请手续后即视为采购人已经按期支付。</w:t>
      </w:r>
    </w:p>
    <w:p w14:paraId="554820DB">
      <w:pPr>
        <w:ind w:left="398"/>
        <w:jc w:val="both"/>
        <w:rPr>
          <w:b/>
          <w:sz w:val="21"/>
        </w:rPr>
      </w:pPr>
      <w:r>
        <w:rPr>
          <w:rFonts w:hint="eastAsia"/>
          <w:b/>
          <w:sz w:val="21"/>
          <w:lang w:eastAsia="zh-CN"/>
        </w:rPr>
        <w:t>七</w:t>
      </w:r>
      <w:r>
        <w:rPr>
          <w:b/>
          <w:sz w:val="21"/>
        </w:rPr>
        <w:t>、 知识产权产权归属</w:t>
      </w:r>
    </w:p>
    <w:p w14:paraId="2A983B16">
      <w:pPr>
        <w:pStyle w:val="5"/>
        <w:spacing w:before="7"/>
        <w:rPr>
          <w:b/>
          <w:sz w:val="15"/>
        </w:rPr>
      </w:pPr>
    </w:p>
    <w:p w14:paraId="412E6FD9">
      <w:pPr>
        <w:pStyle w:val="5"/>
        <w:spacing w:line="417" w:lineRule="auto"/>
        <w:ind w:right="765" w:firstLine="400" w:firstLineChars="200"/>
        <w:jc w:val="both"/>
      </w:pPr>
      <w:r>
        <w:rPr>
          <w:spacing w:val="-5"/>
        </w:rPr>
        <w:t>乙方应保证本项目的投标技术、服务或其任何一部分不会产生因第三方提出侵犯其专利</w:t>
      </w:r>
      <w:r>
        <w:rPr>
          <w:spacing w:val="-7"/>
        </w:rPr>
        <w:t>权、商标权或其他知识产权而引起的法律和经济纠纷；如因第三方提出其专利权、商标权或</w:t>
      </w:r>
      <w:r>
        <w:rPr>
          <w:spacing w:val="-5"/>
        </w:rPr>
        <w:t>其他知识产权的侵权之诉，则一切法律责任由乙方承担。</w:t>
      </w:r>
    </w:p>
    <w:p w14:paraId="5FC1B1C8">
      <w:pPr>
        <w:spacing w:line="269" w:lineRule="exact"/>
        <w:ind w:left="398"/>
        <w:jc w:val="both"/>
        <w:rPr>
          <w:b/>
          <w:sz w:val="21"/>
        </w:rPr>
      </w:pPr>
      <w:r>
        <w:rPr>
          <w:rFonts w:hint="eastAsia"/>
          <w:b/>
          <w:sz w:val="21"/>
          <w:lang w:eastAsia="zh-CN"/>
        </w:rPr>
        <w:t>八</w:t>
      </w:r>
      <w:r>
        <w:rPr>
          <w:b/>
          <w:sz w:val="21"/>
        </w:rPr>
        <w:t xml:space="preserve"> 、 保 密</w:t>
      </w:r>
    </w:p>
    <w:p w14:paraId="609F28E2">
      <w:pPr>
        <w:pStyle w:val="5"/>
        <w:spacing w:before="6"/>
        <w:rPr>
          <w:b/>
          <w:sz w:val="15"/>
        </w:rPr>
      </w:pPr>
    </w:p>
    <w:p w14:paraId="6D2DFA3C">
      <w:pPr>
        <w:pStyle w:val="5"/>
        <w:spacing w:before="1" w:line="417" w:lineRule="auto"/>
        <w:ind w:right="765" w:firstLine="404" w:firstLineChars="200"/>
        <w:jc w:val="both"/>
        <w:rPr>
          <w:spacing w:val="-8"/>
        </w:rPr>
      </w:pPr>
      <w:r>
        <w:rPr>
          <w:spacing w:val="-4"/>
        </w:rPr>
        <w:t>项目实施过程中至乙方正式向甲方交付技术文档资料时止，乙方必须采取措施对本项目</w:t>
      </w:r>
      <w:r>
        <w:rPr>
          <w:spacing w:val="-7"/>
        </w:rPr>
        <w:t>实施过程中的数据、源代码、技术文档等资料保密，否则，由于乙方过错导致的上述资料泄</w:t>
      </w:r>
      <w:r>
        <w:rPr>
          <w:spacing w:val="-8"/>
        </w:rPr>
        <w:t>密的，乙方必须承担一切责任。项目完成后，甲、乙双方均有责任对本项目的技术保密承担责任。</w:t>
      </w:r>
    </w:p>
    <w:p w14:paraId="5F94C000">
      <w:pPr>
        <w:pStyle w:val="5"/>
        <w:numPr>
          <w:ilvl w:val="0"/>
          <w:numId w:val="12"/>
        </w:numPr>
        <w:spacing w:before="1" w:line="417" w:lineRule="auto"/>
        <w:ind w:right="765" w:firstLine="416" w:firstLineChars="200"/>
        <w:jc w:val="both"/>
        <w:rPr>
          <w:spacing w:val="-1"/>
          <w:sz w:val="21"/>
        </w:rPr>
      </w:pPr>
      <w:r>
        <w:rPr>
          <w:spacing w:val="-1"/>
          <w:sz w:val="21"/>
        </w:rPr>
        <w:t>未经乙方事先书面同意，甲方不得将由乙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14:paraId="21D43367">
      <w:pPr>
        <w:pStyle w:val="5"/>
        <w:numPr>
          <w:ilvl w:val="0"/>
          <w:numId w:val="12"/>
        </w:numPr>
        <w:spacing w:before="1" w:line="417" w:lineRule="auto"/>
        <w:ind w:right="765" w:firstLine="420" w:firstLineChars="200"/>
        <w:jc w:val="both"/>
        <w:rPr>
          <w:sz w:val="21"/>
        </w:rPr>
      </w:pPr>
      <w:r>
        <w:rPr>
          <w:sz w:val="21"/>
        </w:rPr>
        <w:t>除了合同本身之外，上款所列举的任何物件均是乙方的财产。如果乙方有要求，甲方在完成</w:t>
      </w:r>
      <w:r>
        <w:rPr>
          <w:spacing w:val="-3"/>
          <w:sz w:val="21"/>
        </w:rPr>
        <w:t>合</w:t>
      </w:r>
      <w:r>
        <w:rPr>
          <w:sz w:val="21"/>
        </w:rPr>
        <w:t>同</w:t>
      </w:r>
      <w:r>
        <w:rPr>
          <w:spacing w:val="-3"/>
          <w:sz w:val="21"/>
        </w:rPr>
        <w:t>后</w:t>
      </w:r>
      <w:r>
        <w:rPr>
          <w:sz w:val="21"/>
        </w:rPr>
        <w:t>应</w:t>
      </w:r>
      <w:r>
        <w:rPr>
          <w:spacing w:val="-3"/>
          <w:sz w:val="21"/>
        </w:rPr>
        <w:t>将</w:t>
      </w:r>
      <w:r>
        <w:rPr>
          <w:sz w:val="21"/>
        </w:rPr>
        <w:t>这</w:t>
      </w:r>
      <w:r>
        <w:rPr>
          <w:spacing w:val="-3"/>
          <w:sz w:val="21"/>
        </w:rPr>
        <w:t>些</w:t>
      </w:r>
      <w:r>
        <w:rPr>
          <w:sz w:val="21"/>
        </w:rPr>
        <w:t>物</w:t>
      </w:r>
      <w:r>
        <w:rPr>
          <w:spacing w:val="-3"/>
          <w:sz w:val="21"/>
        </w:rPr>
        <w:t>件</w:t>
      </w:r>
      <w:r>
        <w:rPr>
          <w:sz w:val="21"/>
        </w:rPr>
        <w:t>及全</w:t>
      </w:r>
      <w:r>
        <w:rPr>
          <w:spacing w:val="-3"/>
          <w:sz w:val="21"/>
        </w:rPr>
        <w:t>部</w:t>
      </w:r>
      <w:r>
        <w:rPr>
          <w:sz w:val="21"/>
        </w:rPr>
        <w:t>复</w:t>
      </w:r>
      <w:r>
        <w:rPr>
          <w:spacing w:val="-3"/>
          <w:sz w:val="21"/>
        </w:rPr>
        <w:t>制</w:t>
      </w:r>
      <w:r>
        <w:rPr>
          <w:sz w:val="21"/>
        </w:rPr>
        <w:t>件</w:t>
      </w:r>
      <w:r>
        <w:rPr>
          <w:spacing w:val="-3"/>
          <w:sz w:val="21"/>
        </w:rPr>
        <w:t>还</w:t>
      </w:r>
      <w:r>
        <w:rPr>
          <w:sz w:val="21"/>
        </w:rPr>
        <w:t>给</w:t>
      </w:r>
      <w:r>
        <w:rPr>
          <w:spacing w:val="-3"/>
          <w:sz w:val="21"/>
        </w:rPr>
        <w:t>乙</w:t>
      </w:r>
      <w:r>
        <w:rPr>
          <w:sz w:val="21"/>
        </w:rPr>
        <w:t>方。</w:t>
      </w:r>
    </w:p>
    <w:p w14:paraId="0371DCCB">
      <w:pPr>
        <w:pStyle w:val="5"/>
        <w:numPr>
          <w:ilvl w:val="0"/>
          <w:numId w:val="12"/>
        </w:numPr>
        <w:spacing w:before="1" w:line="417" w:lineRule="auto"/>
        <w:ind w:right="765" w:firstLine="408" w:firstLineChars="200"/>
        <w:jc w:val="both"/>
        <w:rPr>
          <w:sz w:val="21"/>
        </w:rPr>
      </w:pPr>
      <w:r>
        <w:rPr>
          <w:spacing w:val="-3"/>
          <w:sz w:val="21"/>
        </w:rPr>
        <w:t>保</w:t>
      </w:r>
      <w:r>
        <w:rPr>
          <w:sz w:val="21"/>
        </w:rPr>
        <w:t>密</w:t>
      </w:r>
      <w:r>
        <w:rPr>
          <w:spacing w:val="-3"/>
          <w:sz w:val="21"/>
        </w:rPr>
        <w:t>义</w:t>
      </w:r>
      <w:r>
        <w:rPr>
          <w:sz w:val="21"/>
        </w:rPr>
        <w:t>务</w:t>
      </w:r>
      <w:r>
        <w:rPr>
          <w:spacing w:val="-3"/>
          <w:sz w:val="21"/>
        </w:rPr>
        <w:t>不</w:t>
      </w:r>
      <w:r>
        <w:rPr>
          <w:sz w:val="21"/>
        </w:rPr>
        <w:t>因</w:t>
      </w:r>
      <w:r>
        <w:rPr>
          <w:spacing w:val="-3"/>
          <w:sz w:val="21"/>
        </w:rPr>
        <w:t>合</w:t>
      </w:r>
      <w:r>
        <w:rPr>
          <w:sz w:val="21"/>
        </w:rPr>
        <w:t>同</w:t>
      </w:r>
      <w:r>
        <w:rPr>
          <w:spacing w:val="-3"/>
          <w:sz w:val="21"/>
        </w:rPr>
        <w:t>的无</w:t>
      </w:r>
      <w:r>
        <w:rPr>
          <w:sz w:val="21"/>
        </w:rPr>
        <w:t>效、</w:t>
      </w:r>
      <w:r>
        <w:rPr>
          <w:spacing w:val="-3"/>
          <w:sz w:val="21"/>
        </w:rPr>
        <w:t>解</w:t>
      </w:r>
      <w:r>
        <w:rPr>
          <w:sz w:val="21"/>
        </w:rPr>
        <w:t>除</w:t>
      </w:r>
      <w:r>
        <w:rPr>
          <w:spacing w:val="-3"/>
          <w:sz w:val="21"/>
        </w:rPr>
        <w:t>、</w:t>
      </w:r>
      <w:r>
        <w:rPr>
          <w:sz w:val="21"/>
        </w:rPr>
        <w:t>终</w:t>
      </w:r>
      <w:r>
        <w:rPr>
          <w:spacing w:val="-3"/>
          <w:sz w:val="21"/>
        </w:rPr>
        <w:t>止</w:t>
      </w:r>
      <w:r>
        <w:rPr>
          <w:sz w:val="21"/>
        </w:rPr>
        <w:t>而</w:t>
      </w:r>
      <w:r>
        <w:rPr>
          <w:spacing w:val="-3"/>
          <w:sz w:val="21"/>
        </w:rPr>
        <w:t>失</w:t>
      </w:r>
      <w:r>
        <w:rPr>
          <w:sz w:val="21"/>
        </w:rPr>
        <w:t xml:space="preserve">效。 </w:t>
      </w:r>
    </w:p>
    <w:p w14:paraId="5A021DAF">
      <w:pPr>
        <w:tabs>
          <w:tab w:val="left" w:pos="1238"/>
        </w:tabs>
        <w:spacing w:line="348" w:lineRule="auto"/>
        <w:ind w:left="398" w:right="4205" w:firstLine="314"/>
        <w:rPr>
          <w:b/>
          <w:sz w:val="21"/>
        </w:rPr>
      </w:pPr>
      <w:r>
        <w:rPr>
          <w:rFonts w:hint="eastAsia"/>
          <w:b/>
          <w:sz w:val="21"/>
          <w:lang w:eastAsia="zh-CN"/>
        </w:rPr>
        <w:t>九</w:t>
      </w:r>
      <w:r>
        <w:rPr>
          <w:b/>
          <w:sz w:val="21"/>
        </w:rPr>
        <w:t>、</w:t>
      </w:r>
      <w:r>
        <w:rPr>
          <w:b/>
          <w:sz w:val="21"/>
        </w:rPr>
        <w:tab/>
      </w:r>
      <w:r>
        <w:rPr>
          <w:b/>
          <w:sz w:val="21"/>
        </w:rPr>
        <w:t>违约责任与赔偿损失</w:t>
      </w:r>
    </w:p>
    <w:p w14:paraId="36DB36C6">
      <w:pPr>
        <w:pStyle w:val="14"/>
        <w:numPr>
          <w:ilvl w:val="0"/>
          <w:numId w:val="0"/>
        </w:numPr>
        <w:tabs>
          <w:tab w:val="left" w:pos="720"/>
        </w:tabs>
        <w:spacing w:before="78" w:line="417" w:lineRule="auto"/>
        <w:ind w:right="768" w:rightChars="0" w:firstLine="416" w:firstLineChars="200"/>
        <w:rPr>
          <w:spacing w:val="-2"/>
          <w:sz w:val="21"/>
        </w:rPr>
      </w:pPr>
      <w:r>
        <w:rPr>
          <w:rFonts w:hint="eastAsia"/>
          <w:spacing w:val="-1"/>
          <w:sz w:val="21"/>
          <w:lang w:eastAsia="zh-CN"/>
        </w:rPr>
        <w:t>（一）</w:t>
      </w:r>
      <w:r>
        <w:rPr>
          <w:spacing w:val="-1"/>
          <w:sz w:val="21"/>
        </w:rPr>
        <w:t>乙方提供的服务不符合采购文件、投标文件或本合同规定的，甲方有权拒收，并且乙方</w:t>
      </w:r>
      <w:r>
        <w:rPr>
          <w:spacing w:val="-7"/>
          <w:sz w:val="21"/>
        </w:rPr>
        <w:t xml:space="preserve">须向甲方方支付本合同总价 </w:t>
      </w:r>
      <w:r>
        <w:rPr>
          <w:sz w:val="21"/>
        </w:rPr>
        <w:t>5</w:t>
      </w:r>
      <w:r>
        <w:rPr>
          <w:spacing w:val="-2"/>
          <w:sz w:val="21"/>
        </w:rPr>
        <w:t>%的违约金。</w:t>
      </w:r>
    </w:p>
    <w:p w14:paraId="1ED68930">
      <w:pPr>
        <w:pStyle w:val="14"/>
        <w:numPr>
          <w:ilvl w:val="0"/>
          <w:numId w:val="0"/>
        </w:numPr>
        <w:tabs>
          <w:tab w:val="left" w:pos="720"/>
        </w:tabs>
        <w:spacing w:before="78" w:line="417" w:lineRule="auto"/>
        <w:ind w:right="768" w:rightChars="0" w:firstLine="412" w:firstLineChars="200"/>
        <w:rPr>
          <w:spacing w:val="-1"/>
          <w:sz w:val="21"/>
        </w:rPr>
      </w:pPr>
      <w:r>
        <w:rPr>
          <w:rFonts w:hint="eastAsia"/>
          <w:spacing w:val="-2"/>
          <w:sz w:val="21"/>
          <w:lang w:eastAsia="zh-CN"/>
        </w:rPr>
        <w:t>（二）</w:t>
      </w:r>
      <w:r>
        <w:rPr>
          <w:spacing w:val="-1"/>
          <w:sz w:val="21"/>
        </w:rPr>
        <w:t>乙方未能按本合同规定的时间提供服务，从逾期之日起每日按本合同总价 3‰的数额向甲方支付违约金；逾期 15 天以上（含 15 天）的，甲方有权终止合同，要求乙方支付违约金，并且给甲方造成的经济损失由乙方承担赔偿责任。</w:t>
      </w:r>
    </w:p>
    <w:p w14:paraId="06EB74D2">
      <w:pPr>
        <w:pStyle w:val="14"/>
        <w:numPr>
          <w:ilvl w:val="0"/>
          <w:numId w:val="0"/>
        </w:numPr>
        <w:tabs>
          <w:tab w:val="left" w:pos="720"/>
        </w:tabs>
        <w:spacing w:before="78" w:line="417" w:lineRule="auto"/>
        <w:ind w:right="768" w:rightChars="0" w:firstLine="416" w:firstLineChars="200"/>
        <w:rPr>
          <w:spacing w:val="-3"/>
          <w:sz w:val="21"/>
        </w:rPr>
      </w:pPr>
      <w:r>
        <w:rPr>
          <w:rFonts w:hint="eastAsia"/>
          <w:spacing w:val="-1"/>
          <w:sz w:val="21"/>
          <w:lang w:eastAsia="zh-CN"/>
        </w:rPr>
        <w:t>（三）</w:t>
      </w:r>
      <w:r>
        <w:rPr>
          <w:spacing w:val="-3"/>
          <w:sz w:val="21"/>
        </w:rPr>
        <w:t xml:space="preserve">甲方无正当理由拒收接受服务，到期拒付服务款项的，甲方向乙方偿付本合同总价 </w:t>
      </w:r>
      <w:r>
        <w:rPr>
          <w:sz w:val="21"/>
        </w:rPr>
        <w:t>5%的</w:t>
      </w:r>
      <w:r>
        <w:rPr>
          <w:spacing w:val="-6"/>
          <w:sz w:val="21"/>
        </w:rPr>
        <w:t xml:space="preserve">违约金。甲方逾期付款，则每日按本合同总价的 </w:t>
      </w:r>
      <w:r>
        <w:rPr>
          <w:sz w:val="21"/>
        </w:rPr>
        <w:t>3</w:t>
      </w:r>
      <w:r>
        <w:rPr>
          <w:spacing w:val="-3"/>
          <w:sz w:val="21"/>
        </w:rPr>
        <w:t>‰向乙方偿付违约金。</w:t>
      </w:r>
    </w:p>
    <w:p w14:paraId="5EFA11F7">
      <w:pPr>
        <w:pStyle w:val="14"/>
        <w:numPr>
          <w:ilvl w:val="0"/>
          <w:numId w:val="0"/>
        </w:numPr>
        <w:tabs>
          <w:tab w:val="left" w:pos="720"/>
        </w:tabs>
        <w:spacing w:before="78" w:line="417" w:lineRule="auto"/>
        <w:ind w:right="768" w:rightChars="0" w:firstLine="408" w:firstLineChars="200"/>
        <w:rPr>
          <w:sz w:val="21"/>
        </w:rPr>
      </w:pPr>
      <w:r>
        <w:rPr>
          <w:rFonts w:hint="eastAsia"/>
          <w:spacing w:val="-3"/>
          <w:sz w:val="21"/>
          <w:lang w:eastAsia="zh-CN"/>
        </w:rPr>
        <w:t>（四）</w:t>
      </w:r>
      <w:r>
        <w:rPr>
          <w:spacing w:val="-3"/>
          <w:sz w:val="21"/>
        </w:rPr>
        <w:t>其</w:t>
      </w:r>
      <w:r>
        <w:rPr>
          <w:sz w:val="21"/>
        </w:rPr>
        <w:t>它</w:t>
      </w:r>
      <w:r>
        <w:rPr>
          <w:spacing w:val="-3"/>
          <w:sz w:val="21"/>
        </w:rPr>
        <w:t>违</w:t>
      </w:r>
      <w:r>
        <w:rPr>
          <w:sz w:val="21"/>
        </w:rPr>
        <w:t>约</w:t>
      </w:r>
      <w:r>
        <w:rPr>
          <w:spacing w:val="-3"/>
          <w:sz w:val="21"/>
        </w:rPr>
        <w:t>责</w:t>
      </w:r>
      <w:r>
        <w:rPr>
          <w:sz w:val="21"/>
        </w:rPr>
        <w:t>任</w:t>
      </w:r>
      <w:r>
        <w:rPr>
          <w:spacing w:val="-3"/>
          <w:sz w:val="21"/>
        </w:rPr>
        <w:t>按</w:t>
      </w:r>
      <w:r>
        <w:rPr>
          <w:sz w:val="21"/>
        </w:rPr>
        <w:t>《</w:t>
      </w:r>
      <w:r>
        <w:rPr>
          <w:spacing w:val="-3"/>
          <w:sz w:val="21"/>
        </w:rPr>
        <w:t>中华</w:t>
      </w:r>
      <w:r>
        <w:rPr>
          <w:sz w:val="21"/>
        </w:rPr>
        <w:t>人民</w:t>
      </w:r>
      <w:r>
        <w:rPr>
          <w:spacing w:val="-3"/>
          <w:sz w:val="21"/>
        </w:rPr>
        <w:t>共</w:t>
      </w:r>
      <w:r>
        <w:rPr>
          <w:sz w:val="21"/>
        </w:rPr>
        <w:t>和</w:t>
      </w:r>
      <w:r>
        <w:rPr>
          <w:spacing w:val="-3"/>
          <w:sz w:val="21"/>
        </w:rPr>
        <w:t>国</w:t>
      </w:r>
      <w:r>
        <w:rPr>
          <w:sz w:val="21"/>
        </w:rPr>
        <w:t>民</w:t>
      </w:r>
      <w:r>
        <w:rPr>
          <w:spacing w:val="-3"/>
          <w:sz w:val="21"/>
        </w:rPr>
        <w:t>法</w:t>
      </w:r>
      <w:r>
        <w:rPr>
          <w:sz w:val="21"/>
        </w:rPr>
        <w:t>典</w:t>
      </w:r>
      <w:r>
        <w:rPr>
          <w:spacing w:val="-3"/>
          <w:sz w:val="21"/>
        </w:rPr>
        <w:t>》</w:t>
      </w:r>
      <w:r>
        <w:rPr>
          <w:sz w:val="21"/>
        </w:rPr>
        <w:t>处</w:t>
      </w:r>
      <w:r>
        <w:rPr>
          <w:spacing w:val="-3"/>
          <w:sz w:val="21"/>
        </w:rPr>
        <w:t>理</w:t>
      </w:r>
      <w:r>
        <w:rPr>
          <w:sz w:val="21"/>
        </w:rPr>
        <w:t>。</w:t>
      </w:r>
    </w:p>
    <w:p w14:paraId="7E12646A">
      <w:pPr>
        <w:pStyle w:val="14"/>
        <w:numPr>
          <w:ilvl w:val="0"/>
          <w:numId w:val="0"/>
        </w:numPr>
        <w:tabs>
          <w:tab w:val="left" w:pos="720"/>
        </w:tabs>
        <w:spacing w:before="78" w:line="417" w:lineRule="auto"/>
        <w:ind w:right="768" w:rightChars="0" w:firstLine="422" w:firstLineChars="200"/>
        <w:rPr>
          <w:b/>
          <w:sz w:val="21"/>
        </w:rPr>
      </w:pPr>
      <w:r>
        <w:rPr>
          <w:b/>
          <w:sz w:val="21"/>
        </w:rPr>
        <w:t>十、</w:t>
      </w:r>
      <w:r>
        <w:rPr>
          <w:b/>
          <w:sz w:val="21"/>
        </w:rPr>
        <w:tab/>
      </w:r>
      <w:r>
        <w:rPr>
          <w:b/>
          <w:sz w:val="21"/>
        </w:rPr>
        <w:t>争端的解决</w:t>
      </w:r>
    </w:p>
    <w:p w14:paraId="6F63E32F">
      <w:pPr>
        <w:pStyle w:val="5"/>
        <w:spacing w:line="417" w:lineRule="auto"/>
        <w:ind w:right="765" w:firstLine="396" w:firstLineChars="200"/>
        <w:rPr>
          <w:spacing w:val="-4"/>
        </w:rPr>
      </w:pPr>
      <w:r>
        <w:rPr>
          <w:spacing w:val="-6"/>
        </w:rPr>
        <w:t>合同执行过程中发生的任何争议，如双方不能通过友好协商解决，甲、乙双方一致同意</w:t>
      </w:r>
      <w:r>
        <w:rPr>
          <w:spacing w:val="-4"/>
        </w:rPr>
        <w:t>向甲方所在地人民法院提起诉讼。</w:t>
      </w:r>
    </w:p>
    <w:p w14:paraId="4BDFB2CA">
      <w:pPr>
        <w:tabs>
          <w:tab w:val="left" w:pos="1238"/>
        </w:tabs>
        <w:spacing w:line="269" w:lineRule="exact"/>
        <w:ind w:left="398"/>
        <w:rPr>
          <w:b/>
          <w:sz w:val="21"/>
        </w:rPr>
      </w:pPr>
      <w:r>
        <w:rPr>
          <w:b/>
          <w:sz w:val="21"/>
        </w:rPr>
        <w:t>十</w:t>
      </w:r>
      <w:r>
        <w:rPr>
          <w:rFonts w:hint="eastAsia"/>
          <w:b/>
          <w:sz w:val="21"/>
          <w:lang w:eastAsia="zh-CN"/>
        </w:rPr>
        <w:t>一</w:t>
      </w:r>
      <w:r>
        <w:rPr>
          <w:b/>
          <w:sz w:val="21"/>
        </w:rPr>
        <w:t>、</w:t>
      </w:r>
      <w:r>
        <w:rPr>
          <w:b/>
          <w:sz w:val="21"/>
        </w:rPr>
        <w:tab/>
      </w:r>
      <w:r>
        <w:rPr>
          <w:b/>
          <w:sz w:val="21"/>
        </w:rPr>
        <w:t>不可抗力</w:t>
      </w:r>
    </w:p>
    <w:p w14:paraId="61465B8C">
      <w:pPr>
        <w:pStyle w:val="5"/>
        <w:spacing w:before="6"/>
        <w:rPr>
          <w:b/>
          <w:sz w:val="15"/>
        </w:rPr>
      </w:pPr>
    </w:p>
    <w:p w14:paraId="2EF6B487">
      <w:pPr>
        <w:pStyle w:val="5"/>
        <w:spacing w:line="417" w:lineRule="auto"/>
        <w:ind w:left="398" w:right="765" w:firstLine="420"/>
        <w:jc w:val="both"/>
      </w:pPr>
      <w:r>
        <w:rPr>
          <w:spacing w:val="-6"/>
        </w:rPr>
        <w:t xml:space="preserve">任何一方由于不可抗力原因不能履行合同时，应在不可抗力事件结束后 </w:t>
      </w:r>
      <w:r>
        <w:t>1</w:t>
      </w:r>
      <w:r>
        <w:rPr>
          <w:spacing w:val="-7"/>
        </w:rPr>
        <w:t xml:space="preserve"> 日内向对方通报，以减轻可能给对方造成的损失，在取得有关机构的不可抗力证明或双方谅解确认后，允</w:t>
      </w:r>
      <w:r>
        <w:rPr>
          <w:spacing w:val="-5"/>
        </w:rPr>
        <w:t>许延期履行或修订合同，并根据情况可部分或全部免于承担违约责任。</w:t>
      </w:r>
    </w:p>
    <w:p w14:paraId="7AC1C9F6">
      <w:pPr>
        <w:spacing w:line="269" w:lineRule="exact"/>
        <w:ind w:left="398"/>
        <w:jc w:val="both"/>
        <w:rPr>
          <w:b/>
          <w:sz w:val="21"/>
        </w:rPr>
      </w:pPr>
      <w:r>
        <w:rPr>
          <w:b/>
          <w:spacing w:val="16"/>
          <w:sz w:val="21"/>
        </w:rPr>
        <w:t>十</w:t>
      </w:r>
      <w:r>
        <w:rPr>
          <w:rFonts w:hint="eastAsia"/>
          <w:b/>
          <w:spacing w:val="16"/>
          <w:sz w:val="21"/>
          <w:lang w:eastAsia="zh-CN"/>
        </w:rPr>
        <w:t>二</w:t>
      </w:r>
      <w:r>
        <w:rPr>
          <w:b/>
          <w:spacing w:val="16"/>
          <w:sz w:val="21"/>
        </w:rPr>
        <w:t>、 税费</w:t>
      </w:r>
    </w:p>
    <w:p w14:paraId="641D40B0">
      <w:pPr>
        <w:pStyle w:val="5"/>
        <w:spacing w:before="7"/>
        <w:rPr>
          <w:b/>
          <w:sz w:val="15"/>
        </w:rPr>
      </w:pPr>
    </w:p>
    <w:p w14:paraId="30866859">
      <w:pPr>
        <w:pStyle w:val="5"/>
        <w:spacing w:line="417" w:lineRule="auto"/>
        <w:ind w:left="398" w:right="2419" w:firstLine="420"/>
        <w:jc w:val="both"/>
        <w:rPr>
          <w:spacing w:val="-3"/>
        </w:rPr>
      </w:pPr>
      <w:r>
        <w:rPr>
          <w:spacing w:val="-3"/>
        </w:rPr>
        <w:t>在中国境内、外发生的与本合同执行有关的一切税费均由乙方负担。</w:t>
      </w:r>
    </w:p>
    <w:p w14:paraId="2D33CAE6">
      <w:pPr>
        <w:pStyle w:val="5"/>
        <w:spacing w:line="417" w:lineRule="auto"/>
        <w:ind w:right="2419" w:firstLine="478" w:firstLineChars="200"/>
        <w:jc w:val="both"/>
        <w:rPr>
          <w:b/>
        </w:rPr>
      </w:pPr>
      <w:r>
        <w:rPr>
          <w:b/>
          <w:spacing w:val="14"/>
        </w:rPr>
        <w:t>十</w:t>
      </w:r>
      <w:r>
        <w:rPr>
          <w:rFonts w:hint="eastAsia"/>
          <w:b/>
          <w:spacing w:val="14"/>
          <w:lang w:eastAsia="zh-CN"/>
        </w:rPr>
        <w:t>三</w:t>
      </w:r>
      <w:r>
        <w:rPr>
          <w:b/>
          <w:spacing w:val="14"/>
        </w:rPr>
        <w:t>、 其它</w:t>
      </w:r>
    </w:p>
    <w:p w14:paraId="2066C5F8">
      <w:pPr>
        <w:pStyle w:val="14"/>
        <w:numPr>
          <w:ilvl w:val="0"/>
          <w:numId w:val="0"/>
        </w:numPr>
        <w:tabs>
          <w:tab w:val="left" w:pos="720"/>
        </w:tabs>
        <w:spacing w:line="417" w:lineRule="auto"/>
        <w:ind w:left="398" w:leftChars="0" w:right="773" w:rightChars="0" w:firstLine="416" w:firstLineChars="200"/>
        <w:rPr>
          <w:spacing w:val="-3"/>
          <w:sz w:val="21"/>
        </w:rPr>
      </w:pPr>
      <w:r>
        <w:rPr>
          <w:rFonts w:hint="eastAsia"/>
          <w:spacing w:val="-1"/>
          <w:sz w:val="21"/>
          <w:lang w:eastAsia="zh-CN"/>
        </w:rPr>
        <w:t>（一）</w:t>
      </w:r>
      <w:r>
        <w:rPr>
          <w:spacing w:val="-1"/>
          <w:sz w:val="21"/>
        </w:rPr>
        <w:t>本合同所有附件、采购文件、投标文件、中标通知书均为合同的有效组成部分，与本合</w:t>
      </w:r>
      <w:r>
        <w:rPr>
          <w:spacing w:val="-3"/>
          <w:sz w:val="21"/>
        </w:rPr>
        <w:t>同具有同等法律效力。</w:t>
      </w:r>
    </w:p>
    <w:p w14:paraId="173A77ED">
      <w:pPr>
        <w:pStyle w:val="14"/>
        <w:numPr>
          <w:ilvl w:val="0"/>
          <w:numId w:val="0"/>
        </w:numPr>
        <w:tabs>
          <w:tab w:val="left" w:pos="720"/>
        </w:tabs>
        <w:spacing w:line="417" w:lineRule="auto"/>
        <w:ind w:left="398" w:leftChars="0" w:right="773" w:rightChars="0" w:firstLine="408" w:firstLineChars="200"/>
        <w:rPr>
          <w:spacing w:val="-3"/>
          <w:sz w:val="21"/>
        </w:rPr>
      </w:pPr>
      <w:r>
        <w:rPr>
          <w:rFonts w:hint="eastAsia"/>
          <w:spacing w:val="-3"/>
          <w:sz w:val="21"/>
          <w:lang w:eastAsia="zh-CN"/>
        </w:rPr>
        <w:t>（二）</w:t>
      </w:r>
      <w:r>
        <w:rPr>
          <w:sz w:val="21"/>
        </w:rPr>
        <w:t>在执行本合同的过程中，所有经双方签署确认的文件（</w:t>
      </w:r>
      <w:r>
        <w:rPr>
          <w:spacing w:val="-2"/>
          <w:sz w:val="21"/>
        </w:rPr>
        <w:t>包括会议纪要、补充协议、往来</w:t>
      </w:r>
      <w:r>
        <w:rPr>
          <w:sz w:val="21"/>
        </w:rPr>
        <w:t>信函</w:t>
      </w:r>
      <w:r>
        <w:rPr>
          <w:spacing w:val="-3"/>
          <w:sz w:val="21"/>
        </w:rPr>
        <w:t>）即成为本合同的有效组成部分。</w:t>
      </w:r>
    </w:p>
    <w:p w14:paraId="05927C0E">
      <w:pPr>
        <w:pStyle w:val="14"/>
        <w:numPr>
          <w:ilvl w:val="0"/>
          <w:numId w:val="0"/>
        </w:numPr>
        <w:tabs>
          <w:tab w:val="left" w:pos="720"/>
        </w:tabs>
        <w:spacing w:line="417" w:lineRule="auto"/>
        <w:ind w:left="398" w:leftChars="0" w:right="773" w:rightChars="0" w:firstLine="408" w:firstLineChars="200"/>
        <w:rPr>
          <w:spacing w:val="-1"/>
          <w:sz w:val="21"/>
        </w:rPr>
      </w:pPr>
      <w:r>
        <w:rPr>
          <w:rFonts w:hint="eastAsia"/>
          <w:spacing w:val="-3"/>
          <w:sz w:val="21"/>
          <w:lang w:eastAsia="zh-CN"/>
        </w:rPr>
        <w:t>（三）</w:t>
      </w:r>
      <w:r>
        <w:rPr>
          <w:spacing w:val="-1"/>
          <w:sz w:val="21"/>
        </w:rPr>
        <w:t>如一方地址、电话、传真号码有变更，应在变更当日内书面通知对方，否则，应承担相应责任。</w:t>
      </w:r>
    </w:p>
    <w:p w14:paraId="5DE54DFD">
      <w:pPr>
        <w:pStyle w:val="14"/>
        <w:numPr>
          <w:ilvl w:val="0"/>
          <w:numId w:val="0"/>
        </w:numPr>
        <w:tabs>
          <w:tab w:val="left" w:pos="720"/>
        </w:tabs>
        <w:spacing w:line="417" w:lineRule="auto"/>
        <w:ind w:left="398" w:leftChars="0" w:right="773" w:rightChars="0" w:firstLine="416" w:firstLineChars="200"/>
        <w:rPr>
          <w:b/>
          <w:sz w:val="21"/>
        </w:rPr>
      </w:pPr>
      <w:r>
        <w:rPr>
          <w:rFonts w:hint="eastAsia"/>
          <w:spacing w:val="-1"/>
          <w:sz w:val="21"/>
          <w:lang w:eastAsia="zh-CN"/>
        </w:rPr>
        <w:t>（四）</w:t>
      </w:r>
      <w:r>
        <w:rPr>
          <w:spacing w:val="-3"/>
          <w:sz w:val="21"/>
        </w:rPr>
        <w:t>除</w:t>
      </w:r>
      <w:r>
        <w:rPr>
          <w:sz w:val="21"/>
        </w:rPr>
        <w:t>甲</w:t>
      </w:r>
      <w:r>
        <w:rPr>
          <w:spacing w:val="-3"/>
          <w:sz w:val="21"/>
        </w:rPr>
        <w:t>方</w:t>
      </w:r>
      <w:r>
        <w:rPr>
          <w:sz w:val="21"/>
        </w:rPr>
        <w:t>事</w:t>
      </w:r>
      <w:r>
        <w:rPr>
          <w:spacing w:val="-3"/>
          <w:sz w:val="21"/>
        </w:rPr>
        <w:t>先</w:t>
      </w:r>
      <w:r>
        <w:rPr>
          <w:sz w:val="21"/>
        </w:rPr>
        <w:t>书</w:t>
      </w:r>
      <w:r>
        <w:rPr>
          <w:spacing w:val="-3"/>
          <w:sz w:val="21"/>
        </w:rPr>
        <w:t>面</w:t>
      </w:r>
      <w:r>
        <w:rPr>
          <w:sz w:val="21"/>
        </w:rPr>
        <w:t>同</w:t>
      </w:r>
      <w:r>
        <w:rPr>
          <w:spacing w:val="-3"/>
          <w:sz w:val="21"/>
        </w:rPr>
        <w:t>意外</w:t>
      </w:r>
      <w:r>
        <w:rPr>
          <w:sz w:val="21"/>
        </w:rPr>
        <w:t>，乙</w:t>
      </w:r>
      <w:r>
        <w:rPr>
          <w:spacing w:val="-3"/>
          <w:sz w:val="21"/>
        </w:rPr>
        <w:t>方</w:t>
      </w:r>
      <w:r>
        <w:rPr>
          <w:sz w:val="21"/>
        </w:rPr>
        <w:t>不</w:t>
      </w:r>
      <w:r>
        <w:rPr>
          <w:spacing w:val="-3"/>
          <w:sz w:val="21"/>
        </w:rPr>
        <w:t>得</w:t>
      </w:r>
      <w:r>
        <w:rPr>
          <w:sz w:val="21"/>
        </w:rPr>
        <w:t>部</w:t>
      </w:r>
      <w:r>
        <w:rPr>
          <w:spacing w:val="-3"/>
          <w:sz w:val="21"/>
        </w:rPr>
        <w:t>分</w:t>
      </w:r>
      <w:r>
        <w:rPr>
          <w:sz w:val="21"/>
        </w:rPr>
        <w:t>或</w:t>
      </w:r>
      <w:r>
        <w:rPr>
          <w:spacing w:val="-3"/>
          <w:sz w:val="21"/>
        </w:rPr>
        <w:t>全</w:t>
      </w:r>
      <w:r>
        <w:rPr>
          <w:sz w:val="21"/>
        </w:rPr>
        <w:t>部</w:t>
      </w:r>
      <w:r>
        <w:rPr>
          <w:spacing w:val="-3"/>
          <w:sz w:val="21"/>
        </w:rPr>
        <w:t>转</w:t>
      </w:r>
      <w:r>
        <w:rPr>
          <w:sz w:val="21"/>
        </w:rPr>
        <w:t>让其</w:t>
      </w:r>
      <w:r>
        <w:rPr>
          <w:spacing w:val="-3"/>
          <w:sz w:val="21"/>
        </w:rPr>
        <w:t>应</w:t>
      </w:r>
      <w:r>
        <w:rPr>
          <w:sz w:val="21"/>
        </w:rPr>
        <w:t>履</w:t>
      </w:r>
      <w:r>
        <w:rPr>
          <w:spacing w:val="-3"/>
          <w:sz w:val="21"/>
        </w:rPr>
        <w:t>行</w:t>
      </w:r>
      <w:r>
        <w:rPr>
          <w:sz w:val="21"/>
        </w:rPr>
        <w:t>的</w:t>
      </w:r>
      <w:r>
        <w:rPr>
          <w:spacing w:val="-3"/>
          <w:sz w:val="21"/>
        </w:rPr>
        <w:t>合</w:t>
      </w:r>
      <w:r>
        <w:rPr>
          <w:sz w:val="21"/>
        </w:rPr>
        <w:t>同</w:t>
      </w:r>
      <w:r>
        <w:rPr>
          <w:spacing w:val="-3"/>
          <w:sz w:val="21"/>
        </w:rPr>
        <w:t>项</w:t>
      </w:r>
      <w:r>
        <w:rPr>
          <w:sz w:val="21"/>
        </w:rPr>
        <w:t>下</w:t>
      </w:r>
      <w:r>
        <w:rPr>
          <w:spacing w:val="-3"/>
          <w:sz w:val="21"/>
        </w:rPr>
        <w:t>的</w:t>
      </w:r>
      <w:r>
        <w:rPr>
          <w:sz w:val="21"/>
        </w:rPr>
        <w:t>义务。</w:t>
      </w:r>
      <w:r>
        <w:rPr>
          <w:b/>
          <w:sz w:val="21"/>
        </w:rPr>
        <w:t>十</w:t>
      </w:r>
      <w:r>
        <w:rPr>
          <w:rFonts w:hint="eastAsia"/>
          <w:b/>
          <w:sz w:val="21"/>
          <w:lang w:eastAsia="zh-CN"/>
        </w:rPr>
        <w:t>四</w:t>
      </w:r>
      <w:r>
        <w:rPr>
          <w:b/>
          <w:sz w:val="21"/>
        </w:rPr>
        <w:t>、</w:t>
      </w:r>
      <w:r>
        <w:rPr>
          <w:b/>
          <w:sz w:val="21"/>
        </w:rPr>
        <w:tab/>
      </w:r>
      <w:r>
        <w:rPr>
          <w:b/>
          <w:sz w:val="21"/>
        </w:rPr>
        <w:t>合同生效</w:t>
      </w:r>
    </w:p>
    <w:p w14:paraId="77AC9280">
      <w:pPr>
        <w:pStyle w:val="14"/>
        <w:numPr>
          <w:ilvl w:val="0"/>
          <w:numId w:val="0"/>
        </w:numPr>
        <w:tabs>
          <w:tab w:val="left" w:pos="720"/>
        </w:tabs>
        <w:spacing w:line="417" w:lineRule="auto"/>
        <w:ind w:left="398" w:leftChars="0" w:right="773" w:rightChars="0" w:firstLine="420" w:firstLineChars="200"/>
        <w:rPr>
          <w:sz w:val="21"/>
        </w:rPr>
      </w:pPr>
      <w:r>
        <w:rPr>
          <w:rFonts w:hint="eastAsia"/>
          <w:sz w:val="21"/>
          <w:lang w:eastAsia="zh-CN"/>
        </w:rPr>
        <w:t>（一）</w:t>
      </w:r>
      <w:r>
        <w:rPr>
          <w:sz w:val="21"/>
        </w:rPr>
        <w:t>合同自甲乙双方法人代表或其授权代表签字盖章之日起生效。</w:t>
      </w:r>
    </w:p>
    <w:p w14:paraId="24FF9331">
      <w:pPr>
        <w:pStyle w:val="14"/>
        <w:numPr>
          <w:ilvl w:val="0"/>
          <w:numId w:val="0"/>
        </w:numPr>
        <w:tabs>
          <w:tab w:val="left" w:pos="720"/>
        </w:tabs>
        <w:spacing w:line="417" w:lineRule="auto"/>
        <w:ind w:left="398" w:leftChars="0" w:right="773" w:rightChars="0" w:firstLine="420" w:firstLineChars="200"/>
        <w:rPr>
          <w:sz w:val="21"/>
        </w:rPr>
      </w:pPr>
      <w:r>
        <w:rPr>
          <w:rFonts w:hint="eastAsia"/>
          <w:sz w:val="21"/>
          <w:lang w:eastAsia="zh-CN"/>
        </w:rPr>
        <w:t>（二）</w:t>
      </w:r>
      <w:r>
        <w:rPr>
          <w:sz w:val="21"/>
        </w:rPr>
        <w:t xml:space="preserve">合同壹式 </w:t>
      </w:r>
      <w:r>
        <w:rPr>
          <w:sz w:val="21"/>
        </w:rPr>
        <w:tab/>
      </w:r>
      <w:r>
        <w:rPr>
          <w:sz w:val="21"/>
        </w:rPr>
        <w:t xml:space="preserve">份，其中甲乙双方各执 </w:t>
      </w:r>
      <w:r>
        <w:rPr>
          <w:sz w:val="21"/>
        </w:rPr>
        <w:tab/>
      </w:r>
      <w:r>
        <w:rPr>
          <w:sz w:val="21"/>
        </w:rPr>
        <w:t>份，采购监督管理部门壹份。</w:t>
      </w:r>
    </w:p>
    <w:p w14:paraId="4356A844">
      <w:pPr>
        <w:pStyle w:val="5"/>
        <w:spacing w:before="7"/>
        <w:rPr>
          <w:sz w:val="16"/>
        </w:rPr>
      </w:pPr>
    </w:p>
    <w:p w14:paraId="583868CC">
      <w:pPr>
        <w:tabs>
          <w:tab w:val="left" w:pos="5247"/>
        </w:tabs>
        <w:ind w:left="398"/>
        <w:jc w:val="both"/>
        <w:rPr>
          <w:b/>
          <w:sz w:val="21"/>
        </w:rPr>
      </w:pPr>
      <w:r>
        <w:rPr>
          <w:b/>
          <w:sz w:val="21"/>
        </w:rPr>
        <w:t>甲方（盖章）：</w:t>
      </w:r>
      <w:r>
        <w:rPr>
          <w:b/>
          <w:sz w:val="21"/>
        </w:rPr>
        <w:tab/>
      </w:r>
      <w:r>
        <w:rPr>
          <w:b/>
          <w:sz w:val="21"/>
        </w:rPr>
        <w:t>乙方（盖章）：</w:t>
      </w:r>
    </w:p>
    <w:p w14:paraId="0BE44761">
      <w:pPr>
        <w:pStyle w:val="5"/>
        <w:spacing w:before="6"/>
        <w:rPr>
          <w:b/>
          <w:sz w:val="15"/>
        </w:rPr>
      </w:pPr>
    </w:p>
    <w:p w14:paraId="5AF1BA34">
      <w:pPr>
        <w:tabs>
          <w:tab w:val="left" w:pos="5247"/>
        </w:tabs>
        <w:spacing w:before="1"/>
        <w:ind w:left="398"/>
        <w:jc w:val="both"/>
        <w:rPr>
          <w:b/>
          <w:sz w:val="21"/>
        </w:rPr>
      </w:pPr>
      <w:r>
        <w:rPr>
          <w:b/>
          <w:sz w:val="21"/>
        </w:rPr>
        <w:t>代表：</w:t>
      </w:r>
      <w:r>
        <w:rPr>
          <w:b/>
          <w:sz w:val="21"/>
        </w:rPr>
        <w:tab/>
      </w:r>
      <w:r>
        <w:rPr>
          <w:b/>
          <w:sz w:val="21"/>
        </w:rPr>
        <w:t>代表：</w:t>
      </w:r>
    </w:p>
    <w:p w14:paraId="7C9E091E">
      <w:pPr>
        <w:pStyle w:val="5"/>
        <w:spacing w:before="160"/>
        <w:ind w:left="398"/>
        <w:rPr>
          <w:rFonts w:hint="default" w:eastAsia="宋体"/>
          <w:lang w:val="en-US" w:eastAsia="zh-CN"/>
        </w:rPr>
      </w:pPr>
      <w:r>
        <w:t>签定地点：</w:t>
      </w:r>
      <w:r>
        <w:rPr>
          <w:rFonts w:hint="eastAsia"/>
          <w:lang w:val="en-US"/>
        </w:rPr>
        <w:t xml:space="preserve">                                    </w:t>
      </w:r>
      <w:r>
        <w:rPr>
          <w:rFonts w:hint="eastAsia"/>
          <w:lang w:val="en-US" w:eastAsia="zh-CN"/>
        </w:rPr>
        <w:t>签定地点：</w:t>
      </w:r>
    </w:p>
    <w:p w14:paraId="4E16C4A1">
      <w:pPr>
        <w:pStyle w:val="5"/>
        <w:spacing w:before="160"/>
        <w:ind w:left="398"/>
      </w:pPr>
      <w:r>
        <w:t xml:space="preserve">签 定 </w:t>
      </w:r>
      <w:r>
        <w:rPr>
          <w:spacing w:val="-3"/>
        </w:rPr>
        <w:t xml:space="preserve">日 </w:t>
      </w:r>
      <w:r>
        <w:t>期 ：</w:t>
      </w:r>
      <w:r>
        <w:rPr>
          <w:rFonts w:hint="eastAsia"/>
          <w:lang w:val="en-US" w:eastAsia="zh-CN"/>
        </w:rPr>
        <w:t xml:space="preserve">                                </w:t>
      </w:r>
      <w:r>
        <w:t xml:space="preserve">签 定 </w:t>
      </w:r>
      <w:r>
        <w:rPr>
          <w:spacing w:val="-3"/>
        </w:rPr>
        <w:t xml:space="preserve">日 </w:t>
      </w:r>
      <w:r>
        <w:t>期 ：</w:t>
      </w:r>
    </w:p>
    <w:p w14:paraId="1E9344A6">
      <w:pPr>
        <w:pStyle w:val="5"/>
        <w:spacing w:before="160"/>
        <w:ind w:left="398" w:firstLine="420"/>
        <w:rPr>
          <w:rFonts w:hint="eastAsia"/>
          <w:lang w:val="en-US" w:eastAsia="zh-CN"/>
        </w:rPr>
      </w:pPr>
      <w:r>
        <w:t xml:space="preserve">年 </w:t>
      </w:r>
      <w:r>
        <w:rPr>
          <w:rFonts w:hint="eastAsia"/>
          <w:lang w:val="en-US" w:eastAsia="zh-CN"/>
        </w:rPr>
        <w:t xml:space="preserve"> </w:t>
      </w:r>
      <w:r>
        <w:t>月</w:t>
      </w:r>
      <w:r>
        <w:rPr>
          <w:spacing w:val="96"/>
        </w:rPr>
        <w:t xml:space="preserve"> </w:t>
      </w:r>
      <w:r>
        <w:t>日</w:t>
      </w:r>
      <w:r>
        <w:rPr>
          <w:rFonts w:hint="eastAsia"/>
          <w:lang w:eastAsia="zh-CN"/>
        </w:rPr>
        <w:t>：</w:t>
      </w:r>
      <w:r>
        <w:rPr>
          <w:rFonts w:hint="eastAsia"/>
          <w:lang w:val="en-US" w:eastAsia="zh-CN"/>
        </w:rPr>
        <w:t xml:space="preserve">                                 年    月    日：</w:t>
      </w:r>
    </w:p>
    <w:p w14:paraId="7B3AE32D">
      <w:pPr>
        <w:pStyle w:val="5"/>
        <w:spacing w:before="160"/>
        <w:ind w:left="398" w:firstLine="4802" w:firstLineChars="2287"/>
      </w:pPr>
      <w:r>
        <w:t xml:space="preserve">开户名称：  </w:t>
      </w:r>
    </w:p>
    <w:p w14:paraId="4B631F7B">
      <w:pPr>
        <w:pStyle w:val="5"/>
        <w:spacing w:before="160"/>
        <w:ind w:firstLine="5250" w:firstLineChars="2500"/>
      </w:pPr>
      <w:r>
        <w:t xml:space="preserve">银行账号： </w:t>
      </w:r>
    </w:p>
    <w:p w14:paraId="2721F14D">
      <w:pPr>
        <w:pStyle w:val="5"/>
        <w:spacing w:before="160"/>
        <w:ind w:firstLine="5250" w:firstLineChars="2500"/>
      </w:pPr>
      <w:r>
        <w:t>开 户 行：</w:t>
      </w:r>
    </w:p>
    <w:p w14:paraId="440D9AC9">
      <w:pPr>
        <w:spacing w:line="417" w:lineRule="auto"/>
        <w:jc w:val="both"/>
        <w:sectPr>
          <w:pgSz w:w="11910" w:h="16840"/>
          <w:pgMar w:top="1360" w:right="1340" w:bottom="1420" w:left="1020" w:header="567" w:footer="1216" w:gutter="0"/>
          <w:pgNumType w:fmt="decimal"/>
          <w:cols w:space="720" w:num="1"/>
        </w:sectPr>
      </w:pPr>
    </w:p>
    <w:p w14:paraId="5B373C24">
      <w:pPr>
        <w:spacing w:line="364" w:lineRule="auto"/>
        <w:jc w:val="both"/>
        <w:rPr>
          <w:sz w:val="21"/>
        </w:rPr>
      </w:pPr>
    </w:p>
    <w:p w14:paraId="4A6A8D32">
      <w:pPr>
        <w:spacing w:line="364" w:lineRule="auto"/>
        <w:jc w:val="both"/>
        <w:rPr>
          <w:sz w:val="21"/>
        </w:rPr>
      </w:pPr>
    </w:p>
    <w:p w14:paraId="37A145B6">
      <w:pPr>
        <w:pStyle w:val="5"/>
        <w:rPr>
          <w:sz w:val="20"/>
        </w:rPr>
      </w:pPr>
    </w:p>
    <w:p w14:paraId="25274DB0">
      <w:pPr>
        <w:pStyle w:val="5"/>
        <w:rPr>
          <w:sz w:val="20"/>
        </w:rPr>
      </w:pPr>
    </w:p>
    <w:p w14:paraId="55E38C12">
      <w:pPr>
        <w:pStyle w:val="5"/>
        <w:rPr>
          <w:sz w:val="20"/>
        </w:rPr>
      </w:pPr>
    </w:p>
    <w:p w14:paraId="57DAA7F8">
      <w:pPr>
        <w:pStyle w:val="5"/>
        <w:rPr>
          <w:sz w:val="20"/>
        </w:rPr>
      </w:pPr>
    </w:p>
    <w:p w14:paraId="1DDD654B">
      <w:pPr>
        <w:pStyle w:val="5"/>
        <w:rPr>
          <w:sz w:val="20"/>
        </w:rPr>
      </w:pPr>
    </w:p>
    <w:p w14:paraId="23453CEA">
      <w:pPr>
        <w:pStyle w:val="5"/>
        <w:rPr>
          <w:sz w:val="20"/>
        </w:rPr>
      </w:pPr>
    </w:p>
    <w:p w14:paraId="1FA708C9">
      <w:pPr>
        <w:pStyle w:val="5"/>
        <w:rPr>
          <w:sz w:val="20"/>
        </w:rPr>
      </w:pPr>
    </w:p>
    <w:p w14:paraId="66A0E030">
      <w:pPr>
        <w:pStyle w:val="5"/>
        <w:rPr>
          <w:sz w:val="20"/>
        </w:rPr>
      </w:pPr>
    </w:p>
    <w:p w14:paraId="6D5EE6FB">
      <w:pPr>
        <w:pStyle w:val="5"/>
        <w:rPr>
          <w:sz w:val="20"/>
        </w:rPr>
      </w:pPr>
    </w:p>
    <w:p w14:paraId="498C5047">
      <w:pPr>
        <w:pStyle w:val="5"/>
        <w:rPr>
          <w:sz w:val="20"/>
        </w:rPr>
      </w:pPr>
    </w:p>
    <w:p w14:paraId="71DF99E3">
      <w:pPr>
        <w:pStyle w:val="5"/>
        <w:rPr>
          <w:sz w:val="20"/>
        </w:rPr>
      </w:pPr>
    </w:p>
    <w:p w14:paraId="2696620F">
      <w:pPr>
        <w:pStyle w:val="5"/>
        <w:rPr>
          <w:sz w:val="20"/>
        </w:rPr>
      </w:pPr>
    </w:p>
    <w:p w14:paraId="7B7E5350">
      <w:pPr>
        <w:pStyle w:val="5"/>
        <w:rPr>
          <w:sz w:val="20"/>
        </w:rPr>
      </w:pPr>
    </w:p>
    <w:p w14:paraId="56E23D24">
      <w:pPr>
        <w:pStyle w:val="5"/>
        <w:rPr>
          <w:sz w:val="20"/>
        </w:rPr>
      </w:pPr>
    </w:p>
    <w:p w14:paraId="63A65913">
      <w:pPr>
        <w:pStyle w:val="3"/>
        <w:spacing w:before="187"/>
      </w:pPr>
      <w:bookmarkStart w:id="7" w:name="_bookmark50"/>
      <w:bookmarkEnd w:id="7"/>
      <w:r>
        <w:t>第五章 评分体系与标准</w:t>
      </w:r>
    </w:p>
    <w:p w14:paraId="7E513A81">
      <w:pPr>
        <w:sectPr>
          <w:pgSz w:w="11910" w:h="16840"/>
          <w:pgMar w:top="1360" w:right="1340" w:bottom="1420" w:left="1020" w:header="567" w:footer="1216" w:gutter="0"/>
          <w:pgNumType w:fmt="decimal"/>
          <w:cols w:space="720" w:num="1"/>
        </w:sectPr>
      </w:pPr>
    </w:p>
    <w:p w14:paraId="33D97C42">
      <w:pPr>
        <w:pStyle w:val="5"/>
        <w:spacing w:before="3"/>
        <w:rPr>
          <w:b/>
          <w:sz w:val="10"/>
        </w:rPr>
      </w:pPr>
    </w:p>
    <w:p w14:paraId="4F580F79">
      <w:pPr>
        <w:spacing w:before="62"/>
        <w:ind w:left="842" w:right="899"/>
        <w:jc w:val="center"/>
        <w:rPr>
          <w:b/>
          <w:sz w:val="28"/>
        </w:rPr>
      </w:pPr>
      <w:r>
        <w:rPr>
          <w:b/>
          <w:sz w:val="28"/>
        </w:rPr>
        <w:t>评分体系与标准</w:t>
      </w:r>
    </w:p>
    <w:p w14:paraId="3B9BAA76">
      <w:pPr>
        <w:pStyle w:val="5"/>
        <w:spacing w:before="7"/>
        <w:rPr>
          <w:b/>
          <w:sz w:val="12"/>
        </w:rPr>
      </w:pPr>
    </w:p>
    <w:p w14:paraId="5EF22CF2">
      <w:pPr>
        <w:pStyle w:val="14"/>
        <w:numPr>
          <w:ilvl w:val="0"/>
          <w:numId w:val="13"/>
        </w:numPr>
        <w:tabs>
          <w:tab w:val="left" w:pos="819"/>
        </w:tabs>
        <w:spacing w:before="71"/>
        <w:ind w:hanging="421"/>
        <w:jc w:val="both"/>
        <w:rPr>
          <w:sz w:val="21"/>
        </w:rPr>
      </w:pPr>
      <w:r>
        <w:rPr>
          <w:spacing w:val="-3"/>
          <w:sz w:val="21"/>
        </w:rPr>
        <w:t>本评标办法采用综合评分法。</w:t>
      </w:r>
    </w:p>
    <w:p w14:paraId="54810CDA">
      <w:pPr>
        <w:pStyle w:val="5"/>
        <w:spacing w:before="7"/>
        <w:rPr>
          <w:sz w:val="15"/>
        </w:rPr>
      </w:pPr>
    </w:p>
    <w:p w14:paraId="26E52964">
      <w:pPr>
        <w:pStyle w:val="14"/>
        <w:numPr>
          <w:ilvl w:val="0"/>
          <w:numId w:val="13"/>
        </w:numPr>
        <w:tabs>
          <w:tab w:val="left" w:pos="819"/>
        </w:tabs>
        <w:spacing w:line="417" w:lineRule="auto"/>
        <w:ind w:right="737"/>
        <w:jc w:val="both"/>
        <w:rPr>
          <w:sz w:val="21"/>
        </w:rPr>
      </w:pPr>
      <w:r>
        <w:rPr>
          <w:spacing w:val="-3"/>
          <w:sz w:val="21"/>
        </w:rPr>
        <w:t>评标步骤：评标委员会先进行投标文件符合性审查，对通过符合性审查的投标文件进行技术、商务及价格的详细评审最后评标委员会出具评标报告。</w:t>
      </w:r>
    </w:p>
    <w:p w14:paraId="78263C17">
      <w:pPr>
        <w:pStyle w:val="14"/>
        <w:numPr>
          <w:ilvl w:val="0"/>
          <w:numId w:val="13"/>
        </w:numPr>
        <w:tabs>
          <w:tab w:val="left" w:pos="819"/>
        </w:tabs>
        <w:spacing w:line="417" w:lineRule="auto"/>
        <w:ind w:right="737"/>
        <w:jc w:val="both"/>
        <w:rPr>
          <w:sz w:val="21"/>
        </w:rPr>
      </w:pPr>
      <w:r>
        <w:rPr>
          <w:spacing w:val="-3"/>
          <w:sz w:val="21"/>
        </w:rPr>
        <w:t>评分及其统计：按照评标程序、评分标准以及权重分配的规定，评标委员会各成员分别就各个投标人的技术状况、商务状况及其对招标文件要求的响应情况进行评议和比较， 评出其技术评分和商务评分、价格评分相加得出其综合得分。</w:t>
      </w:r>
    </w:p>
    <w:p w14:paraId="5B4A5712">
      <w:pPr>
        <w:pStyle w:val="5"/>
        <w:rPr>
          <w:sz w:val="20"/>
        </w:rPr>
      </w:pPr>
    </w:p>
    <w:p w14:paraId="343F143C">
      <w:pPr>
        <w:pStyle w:val="5"/>
        <w:spacing w:before="4"/>
        <w:rPr>
          <w:sz w:val="25"/>
        </w:rPr>
      </w:pPr>
    </w:p>
    <w:p w14:paraId="7D6044F8">
      <w:pPr>
        <w:ind w:left="842" w:right="899"/>
        <w:jc w:val="center"/>
        <w:rPr>
          <w:b/>
          <w:sz w:val="28"/>
        </w:rPr>
      </w:pPr>
      <w:r>
        <w:rPr>
          <w:b/>
          <w:sz w:val="28"/>
        </w:rPr>
        <w:t>符合性评审条款</w:t>
      </w:r>
    </w:p>
    <w:p w14:paraId="7FC82325">
      <w:pPr>
        <w:bidi w:val="0"/>
      </w:pPr>
    </w:p>
    <w:p w14:paraId="7DAE0129">
      <w:pPr>
        <w:bidi w:val="0"/>
        <w:rPr>
          <w:rFonts w:hint="eastAsia" w:ascii="宋体" w:hAnsi="宋体" w:eastAsia="宋体" w:cs="宋体"/>
          <w:sz w:val="21"/>
          <w:szCs w:val="21"/>
          <w:highlight w:val="none"/>
        </w:rPr>
      </w:pPr>
      <w:r>
        <w:rPr>
          <w:rFonts w:hint="eastAsia" w:ascii="宋体" w:hAnsi="宋体" w:eastAsia="宋体" w:cs="宋体"/>
          <w:sz w:val="21"/>
          <w:szCs w:val="21"/>
          <w:lang w:val="en-US" w:bidi="ar-SA"/>
        </w:rPr>
        <mc:AlternateContent>
          <mc:Choice Requires="wps">
            <w:drawing>
              <wp:anchor distT="0" distB="0" distL="114300" distR="114300" simplePos="0" relativeHeight="251662336" behindDoc="0" locked="0" layoutInCell="1" allowOverlap="1">
                <wp:simplePos x="0" y="0"/>
                <wp:positionH relativeFrom="page">
                  <wp:posOffset>895985</wp:posOffset>
                </wp:positionH>
                <wp:positionV relativeFrom="paragraph">
                  <wp:posOffset>551180</wp:posOffset>
                </wp:positionV>
                <wp:extent cx="5537835" cy="222377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5537835" cy="2223770"/>
                        </a:xfrm>
                        <a:prstGeom prst="rect">
                          <a:avLst/>
                        </a:prstGeom>
                        <a:noFill/>
                        <a:ln>
                          <a:noFill/>
                        </a:ln>
                        <a:effectLst/>
                      </wps:spPr>
                      <wps:txbx>
                        <w:txbxContent>
                          <w:tbl>
                            <w:tblPr>
                              <w:tblStyle w:val="10"/>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89"/>
                              <w:gridCol w:w="7689"/>
                            </w:tblGrid>
                            <w:tr w14:paraId="4A66404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1" w:hRule="atLeast"/>
                              </w:trPr>
                              <w:tc>
                                <w:tcPr>
                                  <w:tcW w:w="989" w:type="dxa"/>
                                  <w:tcBorders>
                                    <w:bottom w:val="single" w:color="000000" w:sz="6" w:space="0"/>
                                    <w:right w:val="single" w:color="000000" w:sz="4" w:space="0"/>
                                  </w:tcBorders>
                                  <w:noWrap w:val="0"/>
                                  <w:vAlign w:val="top"/>
                                </w:tcPr>
                                <w:p w14:paraId="36BEA42D">
                                  <w:pPr>
                                    <w:pStyle w:val="15"/>
                                    <w:spacing w:before="164"/>
                                    <w:ind w:left="260" w:right="247"/>
                                    <w:jc w:val="center"/>
                                    <w:rPr>
                                      <w:b/>
                                      <w:sz w:val="21"/>
                                    </w:rPr>
                                  </w:pPr>
                                  <w:r>
                                    <w:rPr>
                                      <w:b/>
                                      <w:sz w:val="21"/>
                                    </w:rPr>
                                    <w:t>序号</w:t>
                                  </w:r>
                                </w:p>
                              </w:tc>
                              <w:tc>
                                <w:tcPr>
                                  <w:tcW w:w="7689" w:type="dxa"/>
                                  <w:tcBorders>
                                    <w:left w:val="single" w:color="000000" w:sz="4" w:space="0"/>
                                    <w:bottom w:val="single" w:color="000000" w:sz="6" w:space="0"/>
                                  </w:tcBorders>
                                  <w:noWrap w:val="0"/>
                                  <w:vAlign w:val="top"/>
                                </w:tcPr>
                                <w:p w14:paraId="30583583">
                                  <w:pPr>
                                    <w:pStyle w:val="15"/>
                                    <w:spacing w:before="164"/>
                                    <w:ind w:left="3412" w:right="3372"/>
                                    <w:jc w:val="center"/>
                                    <w:rPr>
                                      <w:b/>
                                      <w:sz w:val="21"/>
                                    </w:rPr>
                                  </w:pPr>
                                  <w:r>
                                    <w:rPr>
                                      <w:b/>
                                      <w:sz w:val="21"/>
                                    </w:rPr>
                                    <w:t>评审内容</w:t>
                                  </w:r>
                                </w:p>
                              </w:tc>
                            </w:tr>
                            <w:tr w14:paraId="7D4C9FE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noWrap w:val="0"/>
                                  <w:vAlign w:val="top"/>
                                </w:tcPr>
                                <w:p w14:paraId="2FBA0366">
                                  <w:pPr>
                                    <w:pStyle w:val="15"/>
                                    <w:spacing w:before="135"/>
                                    <w:ind w:right="46"/>
                                    <w:jc w:val="center"/>
                                    <w:rPr>
                                      <w:sz w:val="21"/>
                                    </w:rPr>
                                  </w:pPr>
                                  <w:r>
                                    <w:rPr>
                                      <w:sz w:val="21"/>
                                    </w:rPr>
                                    <w:t>1</w:t>
                                  </w:r>
                                </w:p>
                              </w:tc>
                              <w:tc>
                                <w:tcPr>
                                  <w:tcW w:w="7689" w:type="dxa"/>
                                  <w:tcBorders>
                                    <w:top w:val="single" w:color="000000" w:sz="6" w:space="0"/>
                                    <w:left w:val="single" w:color="000000" w:sz="4" w:space="0"/>
                                    <w:bottom w:val="single" w:color="000000" w:sz="6" w:space="0"/>
                                  </w:tcBorders>
                                  <w:noWrap w:val="0"/>
                                  <w:vAlign w:val="top"/>
                                </w:tcPr>
                                <w:p w14:paraId="24ECF77D">
                                  <w:pPr>
                                    <w:pStyle w:val="15"/>
                                    <w:spacing w:before="135"/>
                                    <w:ind w:left="117"/>
                                    <w:rPr>
                                      <w:sz w:val="21"/>
                                    </w:rPr>
                                  </w:pPr>
                                  <w:r>
                                    <w:rPr>
                                      <w:sz w:val="21"/>
                                    </w:rPr>
                                    <w:t>投标函已提交并符合招标文件要求的；</w:t>
                                  </w:r>
                                </w:p>
                              </w:tc>
                            </w:tr>
                            <w:tr w14:paraId="1931EA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989" w:type="dxa"/>
                                  <w:tcBorders>
                                    <w:top w:val="single" w:color="000000" w:sz="6" w:space="0"/>
                                    <w:bottom w:val="single" w:color="000000" w:sz="6" w:space="0"/>
                                    <w:right w:val="single" w:color="000000" w:sz="4" w:space="0"/>
                                  </w:tcBorders>
                                  <w:noWrap w:val="0"/>
                                  <w:vAlign w:val="top"/>
                                </w:tcPr>
                                <w:p w14:paraId="5966EA1A">
                                  <w:pPr>
                                    <w:pStyle w:val="15"/>
                                    <w:spacing w:before="178"/>
                                    <w:ind w:right="46"/>
                                    <w:jc w:val="center"/>
                                    <w:rPr>
                                      <w:sz w:val="21"/>
                                    </w:rPr>
                                  </w:pPr>
                                  <w:r>
                                    <w:rPr>
                                      <w:sz w:val="21"/>
                                    </w:rPr>
                                    <w:t>2</w:t>
                                  </w:r>
                                </w:p>
                              </w:tc>
                              <w:tc>
                                <w:tcPr>
                                  <w:tcW w:w="7689" w:type="dxa"/>
                                  <w:tcBorders>
                                    <w:top w:val="single" w:color="000000" w:sz="6" w:space="0"/>
                                    <w:left w:val="single" w:color="000000" w:sz="4" w:space="0"/>
                                    <w:bottom w:val="single" w:color="000000" w:sz="6" w:space="0"/>
                                  </w:tcBorders>
                                  <w:noWrap w:val="0"/>
                                  <w:vAlign w:val="top"/>
                                </w:tcPr>
                                <w:p w14:paraId="309513E8">
                                  <w:pPr>
                                    <w:pStyle w:val="15"/>
                                    <w:spacing w:before="22"/>
                                    <w:ind w:left="117"/>
                                    <w:rPr>
                                      <w:sz w:val="21"/>
                                    </w:rPr>
                                  </w:pPr>
                                  <w:r>
                                    <w:rPr>
                                      <w:spacing w:val="-9"/>
                                      <w:sz w:val="21"/>
                                    </w:rPr>
                                    <w:t>按照招标文件规定要求签署、盖章且投标文件有法定代表人签字，或签字人有法定</w:t>
                                  </w:r>
                                </w:p>
                                <w:p w14:paraId="3EAB0F4F">
                                  <w:pPr>
                                    <w:pStyle w:val="15"/>
                                    <w:spacing w:before="43"/>
                                    <w:ind w:left="136"/>
                                    <w:rPr>
                                      <w:sz w:val="21"/>
                                    </w:rPr>
                                  </w:pPr>
                                  <w:r>
                                    <w:rPr>
                                      <w:sz w:val="21"/>
                                    </w:rPr>
                                    <w:t>代表人有效授权书的；</w:t>
                                  </w:r>
                                </w:p>
                              </w:tc>
                            </w:tr>
                            <w:tr w14:paraId="21681F8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7" w:hRule="atLeast"/>
                              </w:trPr>
                              <w:tc>
                                <w:tcPr>
                                  <w:tcW w:w="989" w:type="dxa"/>
                                  <w:tcBorders>
                                    <w:top w:val="single" w:color="000000" w:sz="6" w:space="0"/>
                                    <w:bottom w:val="single" w:color="000000" w:sz="6" w:space="0"/>
                                    <w:right w:val="single" w:color="000000" w:sz="4" w:space="0"/>
                                  </w:tcBorders>
                                  <w:noWrap w:val="0"/>
                                  <w:vAlign w:val="top"/>
                                </w:tcPr>
                                <w:p w14:paraId="6FB4F6E1">
                                  <w:pPr>
                                    <w:pStyle w:val="15"/>
                                    <w:spacing w:before="135"/>
                                    <w:ind w:right="46"/>
                                    <w:jc w:val="center"/>
                                    <w:rPr>
                                      <w:sz w:val="21"/>
                                    </w:rPr>
                                  </w:pPr>
                                  <w:r>
                                    <w:rPr>
                                      <w:sz w:val="21"/>
                                    </w:rPr>
                                    <w:t>3</w:t>
                                  </w:r>
                                </w:p>
                              </w:tc>
                              <w:tc>
                                <w:tcPr>
                                  <w:tcW w:w="7689" w:type="dxa"/>
                                  <w:tcBorders>
                                    <w:top w:val="single" w:color="000000" w:sz="6" w:space="0"/>
                                    <w:left w:val="single" w:color="000000" w:sz="4" w:space="0"/>
                                    <w:bottom w:val="single" w:color="000000" w:sz="6" w:space="0"/>
                                  </w:tcBorders>
                                  <w:noWrap w:val="0"/>
                                  <w:vAlign w:val="top"/>
                                </w:tcPr>
                                <w:p w14:paraId="5824B0D0">
                                  <w:pPr>
                                    <w:pStyle w:val="15"/>
                                    <w:spacing w:before="133"/>
                                    <w:ind w:left="117"/>
                                    <w:rPr>
                                      <w:sz w:val="21"/>
                                    </w:rPr>
                                  </w:pPr>
                                  <w:r>
                                    <w:rPr>
                                      <w:sz w:val="21"/>
                                    </w:rPr>
                                    <w:t>投标报价未超过本项目最高限价的；</w:t>
                                  </w:r>
                                </w:p>
                              </w:tc>
                            </w:tr>
                            <w:tr w14:paraId="06CBF25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noWrap w:val="0"/>
                                  <w:vAlign w:val="top"/>
                                </w:tcPr>
                                <w:p w14:paraId="572BACEA">
                                  <w:pPr>
                                    <w:pStyle w:val="15"/>
                                    <w:spacing w:before="138"/>
                                    <w:ind w:right="46"/>
                                    <w:jc w:val="center"/>
                                    <w:rPr>
                                      <w:sz w:val="21"/>
                                    </w:rPr>
                                  </w:pPr>
                                  <w:r>
                                    <w:rPr>
                                      <w:sz w:val="21"/>
                                    </w:rPr>
                                    <w:t>4</w:t>
                                  </w:r>
                                </w:p>
                              </w:tc>
                              <w:tc>
                                <w:tcPr>
                                  <w:tcW w:w="7689" w:type="dxa"/>
                                  <w:tcBorders>
                                    <w:top w:val="single" w:color="000000" w:sz="6" w:space="0"/>
                                    <w:left w:val="single" w:color="000000" w:sz="4" w:space="0"/>
                                    <w:bottom w:val="single" w:color="000000" w:sz="6" w:space="0"/>
                                  </w:tcBorders>
                                  <w:noWrap w:val="0"/>
                                  <w:vAlign w:val="top"/>
                                </w:tcPr>
                                <w:p w14:paraId="41A03B9A">
                                  <w:pPr>
                                    <w:pStyle w:val="15"/>
                                    <w:spacing w:before="138"/>
                                    <w:ind w:left="117"/>
                                    <w:rPr>
                                      <w:sz w:val="21"/>
                                    </w:rPr>
                                  </w:pPr>
                                  <w:r>
                                    <w:rPr>
                                      <w:sz w:val="21"/>
                                    </w:rPr>
                                    <w:t>投标文件没有招标文件中规定的其它无效投标条款的；</w:t>
                                  </w:r>
                                </w:p>
                              </w:tc>
                            </w:tr>
                            <w:tr w14:paraId="218CACC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6" w:hRule="atLeast"/>
                              </w:trPr>
                              <w:tc>
                                <w:tcPr>
                                  <w:tcW w:w="989" w:type="dxa"/>
                                  <w:tcBorders>
                                    <w:top w:val="single" w:color="000000" w:sz="6" w:space="0"/>
                                    <w:right w:val="single" w:color="000000" w:sz="4" w:space="0"/>
                                  </w:tcBorders>
                                  <w:noWrap w:val="0"/>
                                  <w:vAlign w:val="top"/>
                                </w:tcPr>
                                <w:p w14:paraId="132E84EE">
                                  <w:pPr>
                                    <w:pStyle w:val="15"/>
                                    <w:spacing w:before="135"/>
                                    <w:ind w:right="46"/>
                                    <w:jc w:val="center"/>
                                    <w:rPr>
                                      <w:sz w:val="21"/>
                                    </w:rPr>
                                  </w:pPr>
                                  <w:r>
                                    <w:rPr>
                                      <w:sz w:val="21"/>
                                    </w:rPr>
                                    <w:t>5</w:t>
                                  </w:r>
                                </w:p>
                              </w:tc>
                              <w:tc>
                                <w:tcPr>
                                  <w:tcW w:w="7689" w:type="dxa"/>
                                  <w:tcBorders>
                                    <w:top w:val="single" w:color="000000" w:sz="6" w:space="0"/>
                                    <w:left w:val="single" w:color="000000" w:sz="4" w:space="0"/>
                                  </w:tcBorders>
                                  <w:noWrap w:val="0"/>
                                  <w:vAlign w:val="top"/>
                                </w:tcPr>
                                <w:p w14:paraId="489F0A03">
                                  <w:pPr>
                                    <w:pStyle w:val="15"/>
                                    <w:spacing w:before="135"/>
                                    <w:ind w:left="117"/>
                                    <w:rPr>
                                      <w:sz w:val="21"/>
                                    </w:rPr>
                                  </w:pPr>
                                  <w:r>
                                    <w:rPr>
                                      <w:sz w:val="21"/>
                                    </w:rPr>
                                    <w:t>按有关法律、法规、规章不属于投标无效的。</w:t>
                                  </w:r>
                                </w:p>
                              </w:tc>
                            </w:tr>
                          </w:tbl>
                          <w:p w14:paraId="22CDDA4D">
                            <w:pPr>
                              <w:pStyle w:val="5"/>
                            </w:pPr>
                          </w:p>
                        </w:txbxContent>
                      </wps:txbx>
                      <wps:bodyPr lIns="0" tIns="0" rIns="0" bIns="0" upright="1"/>
                    </wps:wsp>
                  </a:graphicData>
                </a:graphic>
              </wp:anchor>
            </w:drawing>
          </mc:Choice>
          <mc:Fallback>
            <w:pict>
              <v:shape id="_x0000_s1026" o:spid="_x0000_s1026" o:spt="202" type="#_x0000_t202" style="position:absolute;left:0pt;margin-left:70.55pt;margin-top:43.4pt;height:175.1pt;width:436.05pt;mso-position-horizontal-relative:page;z-index:251662336;mso-width-relative:page;mso-height-relative:page;" filled="f" stroked="f" coordsize="21600,21600" o:gfxdata="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HhXJ0bZAAAACwEAAA8AAAAAAAAAAQAgAAAAIgAAAGRycy9kb3ducmV2&#10;LnhtbFBLAQIUABQAAAAIAIdO4kBrZMNrwgEAAIMDAAAOAAAAAAAAAAEAIAAAACgBAABkcnMvZTJv&#10;RG9jLnhtbFBLBQYAAAAABgAGAFkBAABcBQAAAAA=&#10;">
                <v:fill on="f" focussize="0,0"/>
                <v:stroke on="f"/>
                <v:imagedata o:title=""/>
                <o:lock v:ext="edit" aspectratio="f"/>
                <v:textbox inset="0mm,0mm,0mm,0mm">
                  <w:txbxContent>
                    <w:tbl>
                      <w:tblPr>
                        <w:tblStyle w:val="10"/>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89"/>
                        <w:gridCol w:w="7689"/>
                      </w:tblGrid>
                      <w:tr w14:paraId="4A66404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1" w:hRule="atLeast"/>
                        </w:trPr>
                        <w:tc>
                          <w:tcPr>
                            <w:tcW w:w="989" w:type="dxa"/>
                            <w:tcBorders>
                              <w:bottom w:val="single" w:color="000000" w:sz="6" w:space="0"/>
                              <w:right w:val="single" w:color="000000" w:sz="4" w:space="0"/>
                            </w:tcBorders>
                            <w:noWrap w:val="0"/>
                            <w:vAlign w:val="top"/>
                          </w:tcPr>
                          <w:p w14:paraId="36BEA42D">
                            <w:pPr>
                              <w:pStyle w:val="15"/>
                              <w:spacing w:before="164"/>
                              <w:ind w:left="260" w:right="247"/>
                              <w:jc w:val="center"/>
                              <w:rPr>
                                <w:b/>
                                <w:sz w:val="21"/>
                              </w:rPr>
                            </w:pPr>
                            <w:r>
                              <w:rPr>
                                <w:b/>
                                <w:sz w:val="21"/>
                              </w:rPr>
                              <w:t>序号</w:t>
                            </w:r>
                          </w:p>
                        </w:tc>
                        <w:tc>
                          <w:tcPr>
                            <w:tcW w:w="7689" w:type="dxa"/>
                            <w:tcBorders>
                              <w:left w:val="single" w:color="000000" w:sz="4" w:space="0"/>
                              <w:bottom w:val="single" w:color="000000" w:sz="6" w:space="0"/>
                            </w:tcBorders>
                            <w:noWrap w:val="0"/>
                            <w:vAlign w:val="top"/>
                          </w:tcPr>
                          <w:p w14:paraId="30583583">
                            <w:pPr>
                              <w:pStyle w:val="15"/>
                              <w:spacing w:before="164"/>
                              <w:ind w:left="3412" w:right="3372"/>
                              <w:jc w:val="center"/>
                              <w:rPr>
                                <w:b/>
                                <w:sz w:val="21"/>
                              </w:rPr>
                            </w:pPr>
                            <w:r>
                              <w:rPr>
                                <w:b/>
                                <w:sz w:val="21"/>
                              </w:rPr>
                              <w:t>评审内容</w:t>
                            </w:r>
                          </w:p>
                        </w:tc>
                      </w:tr>
                      <w:tr w14:paraId="7D4C9FE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noWrap w:val="0"/>
                            <w:vAlign w:val="top"/>
                          </w:tcPr>
                          <w:p w14:paraId="2FBA0366">
                            <w:pPr>
                              <w:pStyle w:val="15"/>
                              <w:spacing w:before="135"/>
                              <w:ind w:right="46"/>
                              <w:jc w:val="center"/>
                              <w:rPr>
                                <w:sz w:val="21"/>
                              </w:rPr>
                            </w:pPr>
                            <w:r>
                              <w:rPr>
                                <w:sz w:val="21"/>
                              </w:rPr>
                              <w:t>1</w:t>
                            </w:r>
                          </w:p>
                        </w:tc>
                        <w:tc>
                          <w:tcPr>
                            <w:tcW w:w="7689" w:type="dxa"/>
                            <w:tcBorders>
                              <w:top w:val="single" w:color="000000" w:sz="6" w:space="0"/>
                              <w:left w:val="single" w:color="000000" w:sz="4" w:space="0"/>
                              <w:bottom w:val="single" w:color="000000" w:sz="6" w:space="0"/>
                            </w:tcBorders>
                            <w:noWrap w:val="0"/>
                            <w:vAlign w:val="top"/>
                          </w:tcPr>
                          <w:p w14:paraId="24ECF77D">
                            <w:pPr>
                              <w:pStyle w:val="15"/>
                              <w:spacing w:before="135"/>
                              <w:ind w:left="117"/>
                              <w:rPr>
                                <w:sz w:val="21"/>
                              </w:rPr>
                            </w:pPr>
                            <w:r>
                              <w:rPr>
                                <w:sz w:val="21"/>
                              </w:rPr>
                              <w:t>投标函已提交并符合招标文件要求的；</w:t>
                            </w:r>
                          </w:p>
                        </w:tc>
                      </w:tr>
                      <w:tr w14:paraId="1931EA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989" w:type="dxa"/>
                            <w:tcBorders>
                              <w:top w:val="single" w:color="000000" w:sz="6" w:space="0"/>
                              <w:bottom w:val="single" w:color="000000" w:sz="6" w:space="0"/>
                              <w:right w:val="single" w:color="000000" w:sz="4" w:space="0"/>
                            </w:tcBorders>
                            <w:noWrap w:val="0"/>
                            <w:vAlign w:val="top"/>
                          </w:tcPr>
                          <w:p w14:paraId="5966EA1A">
                            <w:pPr>
                              <w:pStyle w:val="15"/>
                              <w:spacing w:before="178"/>
                              <w:ind w:right="46"/>
                              <w:jc w:val="center"/>
                              <w:rPr>
                                <w:sz w:val="21"/>
                              </w:rPr>
                            </w:pPr>
                            <w:r>
                              <w:rPr>
                                <w:sz w:val="21"/>
                              </w:rPr>
                              <w:t>2</w:t>
                            </w:r>
                          </w:p>
                        </w:tc>
                        <w:tc>
                          <w:tcPr>
                            <w:tcW w:w="7689" w:type="dxa"/>
                            <w:tcBorders>
                              <w:top w:val="single" w:color="000000" w:sz="6" w:space="0"/>
                              <w:left w:val="single" w:color="000000" w:sz="4" w:space="0"/>
                              <w:bottom w:val="single" w:color="000000" w:sz="6" w:space="0"/>
                            </w:tcBorders>
                            <w:noWrap w:val="0"/>
                            <w:vAlign w:val="top"/>
                          </w:tcPr>
                          <w:p w14:paraId="309513E8">
                            <w:pPr>
                              <w:pStyle w:val="15"/>
                              <w:spacing w:before="22"/>
                              <w:ind w:left="117"/>
                              <w:rPr>
                                <w:sz w:val="21"/>
                              </w:rPr>
                            </w:pPr>
                            <w:r>
                              <w:rPr>
                                <w:spacing w:val="-9"/>
                                <w:sz w:val="21"/>
                              </w:rPr>
                              <w:t>按照招标文件规定要求签署、盖章且投标文件有法定代表人签字，或签字人有法定</w:t>
                            </w:r>
                          </w:p>
                          <w:p w14:paraId="3EAB0F4F">
                            <w:pPr>
                              <w:pStyle w:val="15"/>
                              <w:spacing w:before="43"/>
                              <w:ind w:left="136"/>
                              <w:rPr>
                                <w:sz w:val="21"/>
                              </w:rPr>
                            </w:pPr>
                            <w:r>
                              <w:rPr>
                                <w:sz w:val="21"/>
                              </w:rPr>
                              <w:t>代表人有效授权书的；</w:t>
                            </w:r>
                          </w:p>
                        </w:tc>
                      </w:tr>
                      <w:tr w14:paraId="21681F8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7" w:hRule="atLeast"/>
                        </w:trPr>
                        <w:tc>
                          <w:tcPr>
                            <w:tcW w:w="989" w:type="dxa"/>
                            <w:tcBorders>
                              <w:top w:val="single" w:color="000000" w:sz="6" w:space="0"/>
                              <w:bottom w:val="single" w:color="000000" w:sz="6" w:space="0"/>
                              <w:right w:val="single" w:color="000000" w:sz="4" w:space="0"/>
                            </w:tcBorders>
                            <w:noWrap w:val="0"/>
                            <w:vAlign w:val="top"/>
                          </w:tcPr>
                          <w:p w14:paraId="6FB4F6E1">
                            <w:pPr>
                              <w:pStyle w:val="15"/>
                              <w:spacing w:before="135"/>
                              <w:ind w:right="46"/>
                              <w:jc w:val="center"/>
                              <w:rPr>
                                <w:sz w:val="21"/>
                              </w:rPr>
                            </w:pPr>
                            <w:r>
                              <w:rPr>
                                <w:sz w:val="21"/>
                              </w:rPr>
                              <w:t>3</w:t>
                            </w:r>
                          </w:p>
                        </w:tc>
                        <w:tc>
                          <w:tcPr>
                            <w:tcW w:w="7689" w:type="dxa"/>
                            <w:tcBorders>
                              <w:top w:val="single" w:color="000000" w:sz="6" w:space="0"/>
                              <w:left w:val="single" w:color="000000" w:sz="4" w:space="0"/>
                              <w:bottom w:val="single" w:color="000000" w:sz="6" w:space="0"/>
                            </w:tcBorders>
                            <w:noWrap w:val="0"/>
                            <w:vAlign w:val="top"/>
                          </w:tcPr>
                          <w:p w14:paraId="5824B0D0">
                            <w:pPr>
                              <w:pStyle w:val="15"/>
                              <w:spacing w:before="133"/>
                              <w:ind w:left="117"/>
                              <w:rPr>
                                <w:sz w:val="21"/>
                              </w:rPr>
                            </w:pPr>
                            <w:r>
                              <w:rPr>
                                <w:sz w:val="21"/>
                              </w:rPr>
                              <w:t>投标报价未超过本项目最高限价的；</w:t>
                            </w:r>
                          </w:p>
                        </w:tc>
                      </w:tr>
                      <w:tr w14:paraId="06CBF25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noWrap w:val="0"/>
                            <w:vAlign w:val="top"/>
                          </w:tcPr>
                          <w:p w14:paraId="572BACEA">
                            <w:pPr>
                              <w:pStyle w:val="15"/>
                              <w:spacing w:before="138"/>
                              <w:ind w:right="46"/>
                              <w:jc w:val="center"/>
                              <w:rPr>
                                <w:sz w:val="21"/>
                              </w:rPr>
                            </w:pPr>
                            <w:r>
                              <w:rPr>
                                <w:sz w:val="21"/>
                              </w:rPr>
                              <w:t>4</w:t>
                            </w:r>
                          </w:p>
                        </w:tc>
                        <w:tc>
                          <w:tcPr>
                            <w:tcW w:w="7689" w:type="dxa"/>
                            <w:tcBorders>
                              <w:top w:val="single" w:color="000000" w:sz="6" w:space="0"/>
                              <w:left w:val="single" w:color="000000" w:sz="4" w:space="0"/>
                              <w:bottom w:val="single" w:color="000000" w:sz="6" w:space="0"/>
                            </w:tcBorders>
                            <w:noWrap w:val="0"/>
                            <w:vAlign w:val="top"/>
                          </w:tcPr>
                          <w:p w14:paraId="41A03B9A">
                            <w:pPr>
                              <w:pStyle w:val="15"/>
                              <w:spacing w:before="138"/>
                              <w:ind w:left="117"/>
                              <w:rPr>
                                <w:sz w:val="21"/>
                              </w:rPr>
                            </w:pPr>
                            <w:r>
                              <w:rPr>
                                <w:sz w:val="21"/>
                              </w:rPr>
                              <w:t>投标文件没有招标文件中规定的其它无效投标条款的；</w:t>
                            </w:r>
                          </w:p>
                        </w:tc>
                      </w:tr>
                      <w:tr w14:paraId="218CACC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6" w:hRule="atLeast"/>
                        </w:trPr>
                        <w:tc>
                          <w:tcPr>
                            <w:tcW w:w="989" w:type="dxa"/>
                            <w:tcBorders>
                              <w:top w:val="single" w:color="000000" w:sz="6" w:space="0"/>
                              <w:right w:val="single" w:color="000000" w:sz="4" w:space="0"/>
                            </w:tcBorders>
                            <w:noWrap w:val="0"/>
                            <w:vAlign w:val="top"/>
                          </w:tcPr>
                          <w:p w14:paraId="132E84EE">
                            <w:pPr>
                              <w:pStyle w:val="15"/>
                              <w:spacing w:before="135"/>
                              <w:ind w:right="46"/>
                              <w:jc w:val="center"/>
                              <w:rPr>
                                <w:sz w:val="21"/>
                              </w:rPr>
                            </w:pPr>
                            <w:r>
                              <w:rPr>
                                <w:sz w:val="21"/>
                              </w:rPr>
                              <w:t>5</w:t>
                            </w:r>
                          </w:p>
                        </w:tc>
                        <w:tc>
                          <w:tcPr>
                            <w:tcW w:w="7689" w:type="dxa"/>
                            <w:tcBorders>
                              <w:top w:val="single" w:color="000000" w:sz="6" w:space="0"/>
                              <w:left w:val="single" w:color="000000" w:sz="4" w:space="0"/>
                            </w:tcBorders>
                            <w:noWrap w:val="0"/>
                            <w:vAlign w:val="top"/>
                          </w:tcPr>
                          <w:p w14:paraId="489F0A03">
                            <w:pPr>
                              <w:pStyle w:val="15"/>
                              <w:spacing w:before="135"/>
                              <w:ind w:left="117"/>
                              <w:rPr>
                                <w:sz w:val="21"/>
                              </w:rPr>
                            </w:pPr>
                            <w:r>
                              <w:rPr>
                                <w:sz w:val="21"/>
                              </w:rPr>
                              <w:t>按有关法律、法规、规章不属于投标无效的。</w:t>
                            </w:r>
                          </w:p>
                        </w:tc>
                      </w:tr>
                    </w:tbl>
                    <w:p w14:paraId="22CDDA4D">
                      <w:pPr>
                        <w:pStyle w:val="5"/>
                      </w:pPr>
                    </w:p>
                  </w:txbxContent>
                </v:textbox>
              </v:shape>
            </w:pict>
          </mc:Fallback>
        </mc:AlternateContent>
      </w:r>
      <w:r>
        <w:rPr>
          <w:rFonts w:hint="eastAsia" w:ascii="宋体" w:hAnsi="宋体" w:eastAsia="宋体" w:cs="宋体"/>
          <w:sz w:val="21"/>
          <w:szCs w:val="21"/>
        </w:rPr>
        <w:t>项目名称：</w:t>
      </w:r>
      <w:r>
        <w:rPr>
          <w:rFonts w:hint="eastAsia" w:ascii="宋体" w:hAnsi="宋体" w:eastAsia="宋体" w:cs="宋体"/>
          <w:sz w:val="21"/>
          <w:szCs w:val="21"/>
          <w:highlight w:val="none"/>
        </w:rPr>
        <w:t>2024年广州医科大学附属妇女儿童医疗中心官网升级改版项目。</w:t>
      </w:r>
    </w:p>
    <w:p w14:paraId="5E69DD09">
      <w:pPr>
        <w:bidi w:val="0"/>
        <w:rPr>
          <w:sz w:val="21"/>
          <w:szCs w:val="21"/>
        </w:rPr>
      </w:pPr>
      <w:r>
        <w:rPr>
          <w:rFonts w:hint="default"/>
          <w:spacing w:val="-3"/>
          <w:sz w:val="21"/>
          <w:szCs w:val="21"/>
        </w:rPr>
        <w:t>采购项目</w:t>
      </w:r>
      <w:r>
        <w:rPr>
          <w:sz w:val="21"/>
          <w:szCs w:val="21"/>
        </w:rPr>
        <w:t>编号：</w:t>
      </w:r>
    </w:p>
    <w:p w14:paraId="0B192627">
      <w:pPr>
        <w:spacing w:line="321" w:lineRule="auto"/>
        <w:rPr>
          <w:sz w:val="21"/>
          <w:szCs w:val="21"/>
        </w:rPr>
      </w:pPr>
    </w:p>
    <w:p w14:paraId="7600C4A1">
      <w:pPr>
        <w:pStyle w:val="5"/>
        <w:sectPr>
          <w:pgSz w:w="11910" w:h="16840"/>
          <w:pgMar w:top="1360" w:right="1340" w:bottom="1420" w:left="1020" w:header="567" w:footer="1216" w:gutter="0"/>
          <w:pgNumType w:fmt="decimal"/>
          <w:cols w:space="720" w:num="1"/>
        </w:sectPr>
      </w:pPr>
    </w:p>
    <w:p w14:paraId="7D69F855">
      <w:pPr>
        <w:spacing w:before="68"/>
        <w:ind w:left="842" w:right="899"/>
        <w:jc w:val="center"/>
        <w:rPr>
          <w:b/>
          <w:sz w:val="28"/>
        </w:rPr>
      </w:pPr>
      <w:r>
        <w:rPr>
          <w:b/>
          <w:sz w:val="28"/>
        </w:rPr>
        <w:t>技术部分评分表（</w:t>
      </w:r>
      <w:r>
        <w:rPr>
          <w:rFonts w:hint="default"/>
          <w:b/>
          <w:sz w:val="28"/>
        </w:rPr>
        <w:t>60</w:t>
      </w:r>
      <w:r>
        <w:rPr>
          <w:b/>
          <w:sz w:val="28"/>
        </w:rPr>
        <w:t>分）</w:t>
      </w:r>
    </w:p>
    <w:p w14:paraId="6FD04BAF">
      <w:pPr>
        <w:bidi w:val="0"/>
        <w:rPr>
          <w:sz w:val="21"/>
          <w:szCs w:val="21"/>
        </w:rPr>
      </w:pPr>
    </w:p>
    <w:p w14:paraId="34332D04">
      <w:pPr>
        <w:bidi w:val="0"/>
        <w:rPr>
          <w:rFonts w:hint="eastAsia"/>
          <w:sz w:val="21"/>
          <w:szCs w:val="21"/>
        </w:rPr>
      </w:pPr>
      <w:r>
        <w:rPr>
          <w:sz w:val="21"/>
          <w:szCs w:val="21"/>
        </w:rPr>
        <w:t>项目名称：</w:t>
      </w:r>
      <w:r>
        <w:rPr>
          <w:rFonts w:hint="eastAsia"/>
          <w:sz w:val="21"/>
          <w:szCs w:val="21"/>
        </w:rPr>
        <w:t>2024年广州医科大学附属妇女儿童医疗中心官网升级改版项目</w:t>
      </w:r>
    </w:p>
    <w:p w14:paraId="5DF20723">
      <w:pPr>
        <w:pStyle w:val="5"/>
        <w:rPr>
          <w:rFonts w:hint="eastAsia"/>
        </w:rPr>
      </w:pPr>
    </w:p>
    <w:tbl>
      <w:tblPr>
        <w:tblStyle w:val="10"/>
        <w:tblW w:w="0" w:type="auto"/>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07"/>
        <w:gridCol w:w="6771"/>
      </w:tblGrid>
      <w:tr w14:paraId="2466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noWrap w:val="0"/>
            <w:vAlign w:val="top"/>
          </w:tcPr>
          <w:p w14:paraId="681B4F63">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评审内容</w:t>
            </w:r>
          </w:p>
        </w:tc>
        <w:tc>
          <w:tcPr>
            <w:tcW w:w="0" w:type="auto"/>
            <w:tcBorders>
              <w:top w:val="single" w:color="000000" w:sz="4" w:space="0"/>
              <w:left w:val="single" w:color="000000" w:sz="4" w:space="0"/>
              <w:bottom w:val="single" w:color="000000" w:sz="4" w:space="0"/>
              <w:right w:val="single" w:color="000000" w:sz="4" w:space="0"/>
            </w:tcBorders>
            <w:noWrap w:val="0"/>
            <w:vAlign w:val="top"/>
          </w:tcPr>
          <w:p w14:paraId="4ED60BB4">
            <w:pPr>
              <w:keepNext w:val="0"/>
              <w:keepLines w:val="0"/>
              <w:widowControl/>
              <w:suppressLineNumbers w:val="0"/>
              <w:jc w:val="center"/>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评分标准</w:t>
            </w:r>
          </w:p>
        </w:tc>
      </w:tr>
      <w:tr w14:paraId="553E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2907" w:type="dxa"/>
            <w:tcBorders>
              <w:top w:val="single" w:color="000000" w:sz="4" w:space="0"/>
              <w:left w:val="single" w:color="000000" w:sz="4" w:space="0"/>
              <w:bottom w:val="single" w:color="000000" w:sz="4" w:space="0"/>
              <w:right w:val="single" w:color="000000" w:sz="4" w:space="0"/>
            </w:tcBorders>
            <w:noWrap w:val="0"/>
            <w:vAlign w:val="center"/>
          </w:tcPr>
          <w:p w14:paraId="1FAF2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网站升级的性能指标及技术参数响应情况(</w:t>
            </w:r>
            <w:r>
              <w:rPr>
                <w:rFonts w:hint="eastAsia" w:cs="宋体"/>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2"/>
                <w:szCs w:val="22"/>
                <w:u w:val="none"/>
                <w:lang w:val="en-US" w:eastAsia="zh-CN" w:bidi="ar"/>
              </w:rPr>
              <w:t>分)</w:t>
            </w:r>
          </w:p>
        </w:tc>
        <w:tc>
          <w:tcPr>
            <w:tcW w:w="6771" w:type="dxa"/>
            <w:tcBorders>
              <w:top w:val="single" w:color="000000" w:sz="4" w:space="0"/>
              <w:left w:val="single" w:color="000000" w:sz="4" w:space="0"/>
              <w:bottom w:val="single" w:color="000000" w:sz="4" w:space="0"/>
              <w:right w:val="single" w:color="000000" w:sz="4" w:space="0"/>
            </w:tcBorders>
            <w:noWrap w:val="0"/>
            <w:vAlign w:val="center"/>
          </w:tcPr>
          <w:p w14:paraId="24424227">
            <w:pPr>
              <w:keepNext w:val="0"/>
              <w:keepLines w:val="0"/>
              <w:widowControl/>
              <w:suppressLineNumbers w:val="0"/>
              <w:ind w:firstLine="440" w:firstLineChars="20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完成相应招标文件关于</w:t>
            </w:r>
            <w:r>
              <w:rPr>
                <w:rFonts w:hint="eastAsia" w:ascii="宋体" w:hAnsi="宋体" w:eastAsia="宋体" w:cs="宋体"/>
                <w:b/>
                <w:bCs/>
                <w:i w:val="0"/>
                <w:iCs w:val="0"/>
                <w:color w:val="000000"/>
                <w:kern w:val="0"/>
                <w:sz w:val="22"/>
                <w:szCs w:val="22"/>
                <w:u w:val="none"/>
                <w:lang w:val="en-US" w:eastAsia="zh-CN" w:bidi="ar"/>
              </w:rPr>
              <w:t>网站功能技术要求</w:t>
            </w:r>
            <w:r>
              <w:rPr>
                <w:rFonts w:hint="eastAsia" w:ascii="宋体" w:hAnsi="宋体" w:eastAsia="宋体" w:cs="宋体"/>
                <w:i w:val="0"/>
                <w:iCs w:val="0"/>
                <w:color w:val="000000"/>
                <w:kern w:val="0"/>
                <w:sz w:val="22"/>
                <w:szCs w:val="22"/>
                <w:u w:val="none"/>
                <w:lang w:val="en-US" w:eastAsia="zh-CN" w:bidi="ar"/>
              </w:rPr>
              <w:t>及</w:t>
            </w:r>
            <w:r>
              <w:rPr>
                <w:rFonts w:hint="eastAsia" w:ascii="宋体" w:hAnsi="宋体" w:eastAsia="宋体" w:cs="宋体"/>
                <w:b/>
                <w:bCs/>
                <w:i w:val="0"/>
                <w:iCs w:val="0"/>
                <w:color w:val="000000"/>
                <w:kern w:val="0"/>
                <w:sz w:val="22"/>
                <w:szCs w:val="22"/>
                <w:u w:val="none"/>
                <w:lang w:val="en-US" w:eastAsia="zh-CN" w:bidi="ar"/>
              </w:rPr>
              <w:t>网站栏目建设要求</w:t>
            </w:r>
            <w:r>
              <w:rPr>
                <w:rFonts w:hint="eastAsia" w:ascii="宋体" w:hAnsi="宋体" w:eastAsia="宋体" w:cs="宋体"/>
                <w:i w:val="0"/>
                <w:iCs w:val="0"/>
                <w:color w:val="000000"/>
                <w:kern w:val="0"/>
                <w:sz w:val="22"/>
                <w:szCs w:val="22"/>
                <w:u w:val="none"/>
                <w:lang w:val="en-US" w:eastAsia="zh-CN" w:bidi="ar"/>
              </w:rPr>
              <w:t>的得</w:t>
            </w:r>
            <w:r>
              <w:rPr>
                <w:rFonts w:hint="eastAsia" w:cs="宋体"/>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2"/>
                <w:szCs w:val="22"/>
                <w:u w:val="none"/>
                <w:lang w:val="en-US" w:eastAsia="zh-CN" w:bidi="ar"/>
              </w:rPr>
              <w:t>分，标注</w:t>
            </w:r>
            <w:r>
              <w:rPr>
                <w:rFonts w:hint="eastAsia" w:ascii="宋体" w:hAnsi="宋体" w:eastAsia="宋体" w:cs="宋体"/>
                <w:i w:val="0"/>
                <w:iCs w:val="0"/>
                <w:color w:val="000000"/>
                <w:kern w:val="0"/>
                <w:sz w:val="22"/>
                <w:szCs w:val="22"/>
                <w:u w:val="none"/>
                <w:lang w:val="en-US" w:eastAsia="zh-Hans" w:bidi="ar"/>
              </w:rPr>
              <w:t>“</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Hans" w:bidi="ar"/>
              </w:rPr>
              <w:t>”</w:t>
            </w:r>
            <w:r>
              <w:rPr>
                <w:rFonts w:hint="eastAsia" w:ascii="宋体" w:hAnsi="宋体" w:eastAsia="宋体" w:cs="宋体"/>
                <w:i w:val="0"/>
                <w:iCs w:val="0"/>
                <w:color w:val="000000"/>
                <w:kern w:val="0"/>
                <w:sz w:val="22"/>
                <w:szCs w:val="22"/>
                <w:u w:val="none"/>
                <w:lang w:val="en-US" w:eastAsia="zh-CN" w:bidi="ar"/>
              </w:rPr>
              <w:t>关键的性能指标及技术参数存在负偏离或缺漏项的，每项扣2分，其他性能指标及技术参数存在负偏离或缺漏项的每项扣1分，直至</w:t>
            </w:r>
            <w:r>
              <w:rPr>
                <w:rFonts w:hint="eastAsia" w:cs="宋体"/>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2"/>
                <w:szCs w:val="22"/>
                <w:u w:val="none"/>
                <w:lang w:val="en-US" w:eastAsia="zh-CN" w:bidi="ar"/>
              </w:rPr>
              <w:t>分扣完为止。</w:t>
            </w:r>
          </w:p>
        </w:tc>
      </w:tr>
      <w:tr w14:paraId="14CD4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2907" w:type="dxa"/>
            <w:tcBorders>
              <w:top w:val="single" w:color="000000" w:sz="4" w:space="0"/>
              <w:left w:val="single" w:color="000000" w:sz="4" w:space="0"/>
              <w:bottom w:val="single" w:color="000000" w:sz="4" w:space="0"/>
              <w:right w:val="single" w:color="000000" w:sz="4" w:space="0"/>
            </w:tcBorders>
            <w:noWrap w:val="0"/>
            <w:vAlign w:val="center"/>
          </w:tcPr>
          <w:p w14:paraId="58A9884F">
            <w:pPr>
              <w:keepNext w:val="0"/>
              <w:keepLines w:val="0"/>
              <w:widowControl/>
              <w:suppressLineNumbers w:val="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提供方案设计图和</w:t>
            </w:r>
            <w:r>
              <w:rPr>
                <w:rFonts w:hint="eastAsia" w:cs="宋体"/>
                <w:sz w:val="22"/>
                <w:szCs w:val="22"/>
                <w:lang w:val="en-US" w:eastAsia="zh-CN"/>
              </w:rPr>
              <w:t>交互</w:t>
            </w:r>
            <w:r>
              <w:rPr>
                <w:rFonts w:hint="eastAsia" w:ascii="宋体" w:hAnsi="宋体" w:eastAsia="宋体" w:cs="宋体"/>
                <w:sz w:val="22"/>
                <w:szCs w:val="22"/>
                <w:lang w:val="en-US" w:eastAsia="zh-CN"/>
              </w:rPr>
              <w:t>DE</w:t>
            </w:r>
            <w:r>
              <w:rPr>
                <w:rFonts w:hint="eastAsia" w:ascii="宋体" w:hAnsi="宋体" w:eastAsia="宋体" w:cs="宋体"/>
                <w:sz w:val="22"/>
                <w:szCs w:val="22"/>
                <w:lang w:val="en-US" w:eastAsia="zh-Hans"/>
              </w:rPr>
              <w:t>M</w:t>
            </w:r>
            <w:r>
              <w:rPr>
                <w:rFonts w:hint="eastAsia" w:ascii="宋体" w:hAnsi="宋体" w:eastAsia="宋体" w:cs="宋体"/>
                <w:sz w:val="22"/>
                <w:szCs w:val="22"/>
                <w:lang w:val="en-US" w:eastAsia="zh-CN"/>
              </w:rPr>
              <w:t>O页面</w:t>
            </w:r>
          </w:p>
          <w:p w14:paraId="58CCC2AB">
            <w:pPr>
              <w:pStyle w:val="5"/>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eastAsia="zh-CN" w:bidi="ar"/>
              </w:rPr>
              <w:t>（1</w:t>
            </w:r>
            <w:r>
              <w:rPr>
                <w:rFonts w:hint="eastAsia"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Hans" w:bidi="ar"/>
              </w:rPr>
              <w:t>分</w:t>
            </w:r>
            <w:r>
              <w:rPr>
                <w:rFonts w:hint="eastAsia" w:ascii="宋体" w:hAnsi="宋体" w:eastAsia="宋体" w:cs="宋体"/>
                <w:i w:val="0"/>
                <w:iCs w:val="0"/>
                <w:color w:val="000000"/>
                <w:kern w:val="0"/>
                <w:sz w:val="22"/>
                <w:szCs w:val="22"/>
                <w:u w:val="none"/>
                <w:lang w:eastAsia="zh-CN" w:bidi="ar"/>
              </w:rPr>
              <w:t>）</w:t>
            </w:r>
          </w:p>
        </w:tc>
        <w:tc>
          <w:tcPr>
            <w:tcW w:w="6771" w:type="dxa"/>
            <w:tcBorders>
              <w:top w:val="single" w:color="000000" w:sz="4" w:space="0"/>
              <w:left w:val="single" w:color="000000" w:sz="4" w:space="0"/>
              <w:bottom w:val="single" w:color="000000" w:sz="4" w:space="0"/>
              <w:right w:val="single" w:color="000000" w:sz="4" w:space="0"/>
            </w:tcBorders>
            <w:noWrap w:val="0"/>
            <w:vAlign w:val="center"/>
          </w:tcPr>
          <w:p w14:paraId="349B12BD">
            <w:pPr>
              <w:keepNext w:val="0"/>
              <w:keepLines w:val="0"/>
              <w:widowControl/>
              <w:numPr>
                <w:ilvl w:val="0"/>
                <w:numId w:val="14"/>
              </w:numPr>
              <w:suppressLineNumbers w:val="0"/>
              <w:jc w:val="both"/>
              <w:textAlignment w:val="top"/>
              <w:rPr>
                <w:rFonts w:hint="eastAsia" w:cs="宋体"/>
                <w:sz w:val="22"/>
                <w:szCs w:val="22"/>
                <w:lang w:val="en-US" w:eastAsia="zh-CN"/>
              </w:rPr>
            </w:pPr>
            <w:r>
              <w:rPr>
                <w:rFonts w:hint="eastAsia" w:ascii="宋体" w:hAnsi="宋体" w:eastAsia="宋体" w:cs="宋体"/>
                <w:sz w:val="22"/>
                <w:szCs w:val="22"/>
                <w:lang w:val="en-US" w:eastAsia="zh-CN"/>
              </w:rPr>
              <w:t>提供</w:t>
            </w:r>
            <w:r>
              <w:rPr>
                <w:rFonts w:hint="eastAsia" w:cs="宋体"/>
                <w:sz w:val="22"/>
                <w:szCs w:val="22"/>
                <w:lang w:val="en-US" w:eastAsia="zh-CN"/>
              </w:rPr>
              <w:t>以下内容：</w:t>
            </w:r>
          </w:p>
          <w:p w14:paraId="4EB99DBF">
            <w:pPr>
              <w:keepNext w:val="0"/>
              <w:keepLines w:val="0"/>
              <w:widowControl/>
              <w:numPr>
                <w:ilvl w:val="0"/>
                <w:numId w:val="15"/>
              </w:numPr>
              <w:suppressLineNumbers w:val="0"/>
              <w:ind w:left="840" w:leftChars="0" w:hanging="420" w:firstLineChars="0"/>
              <w:jc w:val="both"/>
              <w:textAlignment w:val="top"/>
              <w:rPr>
                <w:rFonts w:hint="eastAsia" w:ascii="宋体" w:hAnsi="宋体" w:eastAsia="宋体" w:cs="宋体"/>
                <w:sz w:val="22"/>
                <w:szCs w:val="22"/>
                <w:lang w:eastAsia="zh-CN"/>
              </w:rPr>
            </w:pPr>
            <w:r>
              <w:rPr>
                <w:rFonts w:hint="eastAsia" w:ascii="宋体" w:hAnsi="宋体" w:eastAsia="宋体" w:cs="宋体"/>
                <w:sz w:val="22"/>
                <w:szCs w:val="22"/>
                <w:lang w:val="en-US" w:eastAsia="zh-CN"/>
              </w:rPr>
              <w:t>针对本项目的</w:t>
            </w:r>
            <w:r>
              <w:rPr>
                <w:rFonts w:hint="eastAsia" w:cs="宋体"/>
                <w:sz w:val="22"/>
                <w:szCs w:val="22"/>
                <w:lang w:val="en-US" w:eastAsia="zh-CN"/>
              </w:rPr>
              <w:t>首页设计稿图片</w:t>
            </w:r>
          </w:p>
          <w:p w14:paraId="5CAA5B1D">
            <w:pPr>
              <w:keepNext w:val="0"/>
              <w:keepLines w:val="0"/>
              <w:widowControl/>
              <w:numPr>
                <w:ilvl w:val="0"/>
                <w:numId w:val="15"/>
              </w:numPr>
              <w:suppressLineNumbers w:val="0"/>
              <w:ind w:left="840" w:leftChars="0" w:hanging="420" w:firstLineChars="0"/>
              <w:jc w:val="both"/>
              <w:textAlignment w:val="top"/>
              <w:rPr>
                <w:rFonts w:hint="eastAsia" w:ascii="宋体" w:hAnsi="宋体" w:eastAsia="宋体" w:cs="宋体"/>
                <w:sz w:val="22"/>
                <w:szCs w:val="22"/>
                <w:lang w:eastAsia="zh-CN"/>
              </w:rPr>
            </w:pPr>
            <w:r>
              <w:rPr>
                <w:rFonts w:hint="eastAsia" w:cs="宋体"/>
                <w:sz w:val="22"/>
                <w:szCs w:val="22"/>
                <w:lang w:val="en-US" w:eastAsia="zh-CN"/>
              </w:rPr>
              <w:t>交互</w:t>
            </w:r>
            <w:r>
              <w:rPr>
                <w:rFonts w:hint="eastAsia" w:ascii="宋体" w:hAnsi="宋体" w:eastAsia="宋体" w:cs="宋体"/>
                <w:sz w:val="22"/>
                <w:szCs w:val="22"/>
                <w:lang w:val="en-US" w:eastAsia="zh-CN"/>
              </w:rPr>
              <w:t>DEMO页面</w:t>
            </w:r>
            <w:r>
              <w:rPr>
                <w:rFonts w:hint="eastAsia" w:ascii="宋体" w:hAnsi="宋体" w:eastAsia="宋体" w:cs="宋体"/>
                <w:sz w:val="22"/>
                <w:szCs w:val="22"/>
                <w:lang w:val="en-US" w:eastAsia="zh-Hans"/>
              </w:rPr>
              <w:t>的网址</w:t>
            </w:r>
            <w:r>
              <w:rPr>
                <w:rFonts w:hint="eastAsia" w:cs="宋体"/>
                <w:sz w:val="22"/>
                <w:szCs w:val="22"/>
                <w:lang w:val="en-US" w:eastAsia="zh-CN"/>
              </w:rPr>
              <w:t>及</w:t>
            </w:r>
            <w:r>
              <w:rPr>
                <w:rFonts w:hint="eastAsia" w:ascii="宋体" w:hAnsi="宋体" w:eastAsia="宋体" w:cs="宋体"/>
                <w:sz w:val="22"/>
                <w:szCs w:val="22"/>
                <w:lang w:val="en-US" w:eastAsia="zh-Hans"/>
              </w:rPr>
              <w:t>首页截图</w:t>
            </w:r>
          </w:p>
          <w:p w14:paraId="4940F398">
            <w:pPr>
              <w:keepNext w:val="0"/>
              <w:keepLines w:val="0"/>
              <w:widowControl/>
              <w:numPr>
                <w:ilvl w:val="0"/>
                <w:numId w:val="0"/>
              </w:numPr>
              <w:suppressLineNumbers w:val="0"/>
              <w:ind w:left="420" w:leftChars="0"/>
              <w:jc w:val="both"/>
              <w:textAlignment w:val="top"/>
              <w:rPr>
                <w:rFonts w:hint="eastAsia" w:ascii="宋体" w:hAnsi="宋体" w:eastAsia="宋体" w:cs="宋体"/>
                <w:sz w:val="22"/>
                <w:szCs w:val="22"/>
                <w:lang w:eastAsia="zh-CN"/>
              </w:rPr>
            </w:pPr>
            <w:r>
              <w:rPr>
                <w:rFonts w:hint="eastAsia" w:ascii="宋体" w:hAnsi="宋体" w:eastAsia="宋体" w:cs="宋体"/>
                <w:sz w:val="22"/>
                <w:szCs w:val="22"/>
                <w:lang w:val="en-US" w:eastAsia="zh-CN"/>
              </w:rPr>
              <w:t>每种类型证明得</w:t>
            </w:r>
            <w:r>
              <w:rPr>
                <w:rFonts w:hint="eastAsia" w:cs="宋体"/>
                <w:sz w:val="22"/>
                <w:szCs w:val="22"/>
                <w:lang w:val="en-US" w:eastAsia="zh-CN"/>
              </w:rPr>
              <w:t>4</w:t>
            </w:r>
            <w:r>
              <w:rPr>
                <w:rFonts w:hint="eastAsia" w:ascii="宋体" w:hAnsi="宋体" w:eastAsia="宋体" w:cs="宋体"/>
                <w:sz w:val="22"/>
                <w:szCs w:val="22"/>
                <w:lang w:val="en-US" w:eastAsia="zh-CN"/>
              </w:rPr>
              <w:t>分，最高得</w:t>
            </w:r>
            <w:r>
              <w:rPr>
                <w:rFonts w:hint="eastAsia" w:cs="宋体"/>
                <w:sz w:val="22"/>
                <w:szCs w:val="22"/>
                <w:lang w:val="en-US" w:eastAsia="zh-CN"/>
              </w:rPr>
              <w:t>8</w:t>
            </w:r>
            <w:r>
              <w:rPr>
                <w:rFonts w:hint="eastAsia" w:ascii="宋体" w:hAnsi="宋体" w:eastAsia="宋体" w:cs="宋体"/>
                <w:sz w:val="22"/>
                <w:szCs w:val="22"/>
                <w:lang w:val="en-US" w:eastAsia="zh-CN"/>
              </w:rPr>
              <w:t>分</w:t>
            </w:r>
            <w:r>
              <w:rPr>
                <w:rFonts w:hint="eastAsia" w:ascii="宋体" w:hAnsi="宋体" w:eastAsia="宋体" w:cs="宋体"/>
                <w:sz w:val="22"/>
                <w:szCs w:val="22"/>
                <w:lang w:eastAsia="zh-CN"/>
              </w:rPr>
              <w:t>。</w:t>
            </w:r>
          </w:p>
          <w:p w14:paraId="2252BCAF">
            <w:pPr>
              <w:keepNext w:val="0"/>
              <w:keepLines w:val="0"/>
              <w:widowControl/>
              <w:numPr>
                <w:ilvl w:val="0"/>
                <w:numId w:val="14"/>
              </w:numPr>
              <w:suppressLineNumbers w:val="0"/>
              <w:jc w:val="both"/>
              <w:textAlignment w:val="top"/>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提供的</w:t>
            </w:r>
            <w:r>
              <w:rPr>
                <w:rFonts w:hint="eastAsia" w:ascii="宋体" w:hAnsi="宋体" w:eastAsia="宋体" w:cs="宋体"/>
                <w:i w:val="0"/>
                <w:iCs w:val="0"/>
                <w:color w:val="000000"/>
                <w:kern w:val="0"/>
                <w:sz w:val="22"/>
                <w:szCs w:val="22"/>
                <w:u w:val="none"/>
                <w:lang w:val="en-US" w:eastAsia="zh-Hans" w:bidi="ar"/>
              </w:rPr>
              <w:t>DEMO</w:t>
            </w:r>
            <w:r>
              <w:rPr>
                <w:rFonts w:hint="eastAsia" w:cs="宋体"/>
                <w:i w:val="0"/>
                <w:iCs w:val="0"/>
                <w:color w:val="000000"/>
                <w:kern w:val="0"/>
                <w:sz w:val="22"/>
                <w:szCs w:val="22"/>
                <w:u w:val="none"/>
                <w:lang w:val="en-US" w:eastAsia="zh-CN" w:bidi="ar"/>
              </w:rPr>
              <w:t>网址</w:t>
            </w:r>
            <w:r>
              <w:rPr>
                <w:rFonts w:hint="eastAsia" w:ascii="宋体" w:hAnsi="宋体" w:eastAsia="宋体" w:cs="宋体"/>
                <w:i w:val="0"/>
                <w:iCs w:val="0"/>
                <w:color w:val="000000"/>
                <w:kern w:val="0"/>
                <w:sz w:val="22"/>
                <w:szCs w:val="22"/>
                <w:u w:val="none"/>
                <w:lang w:val="en-US" w:eastAsia="zh-Hans" w:bidi="ar"/>
              </w:rPr>
              <w:t>页面可动态交互</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Hans" w:bidi="ar"/>
              </w:rPr>
              <w:t>得</w:t>
            </w:r>
            <w:r>
              <w:rPr>
                <w:rFonts w:hint="eastAsia" w:ascii="宋体" w:hAnsi="宋体" w:eastAsia="宋体" w:cs="宋体"/>
                <w:i w:val="0"/>
                <w:iCs w:val="0"/>
                <w:color w:val="000000"/>
                <w:kern w:val="0"/>
                <w:sz w:val="22"/>
                <w:szCs w:val="22"/>
                <w:u w:val="none"/>
                <w:lang w:eastAsia="zh-Hans" w:bidi="ar"/>
              </w:rPr>
              <w:t>4</w:t>
            </w:r>
            <w:r>
              <w:rPr>
                <w:rFonts w:hint="eastAsia" w:ascii="宋体" w:hAnsi="宋体" w:eastAsia="宋体" w:cs="宋体"/>
                <w:i w:val="0"/>
                <w:iCs w:val="0"/>
                <w:color w:val="000000"/>
                <w:kern w:val="0"/>
                <w:sz w:val="22"/>
                <w:szCs w:val="22"/>
                <w:u w:val="none"/>
                <w:lang w:val="en-US" w:eastAsia="zh-Hans" w:bidi="ar"/>
              </w:rPr>
              <w:t>分</w:t>
            </w:r>
            <w:r>
              <w:rPr>
                <w:rFonts w:hint="eastAsia" w:ascii="宋体" w:hAnsi="宋体" w:eastAsia="宋体" w:cs="宋体"/>
                <w:i w:val="0"/>
                <w:iCs w:val="0"/>
                <w:color w:val="000000"/>
                <w:kern w:val="0"/>
                <w:sz w:val="22"/>
                <w:szCs w:val="22"/>
                <w:u w:val="none"/>
                <w:lang w:eastAsia="zh-Hans" w:bidi="ar"/>
              </w:rPr>
              <w:t>。</w:t>
            </w:r>
          </w:p>
        </w:tc>
      </w:tr>
      <w:tr w14:paraId="12C6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2907" w:type="dxa"/>
            <w:tcBorders>
              <w:top w:val="single" w:color="000000" w:sz="4" w:space="0"/>
              <w:left w:val="single" w:color="000000" w:sz="4" w:space="0"/>
              <w:bottom w:val="single" w:color="000000" w:sz="4" w:space="0"/>
              <w:right w:val="single" w:color="000000" w:sz="4" w:space="0"/>
            </w:tcBorders>
            <w:noWrap w:val="0"/>
            <w:vAlign w:val="center"/>
          </w:tcPr>
          <w:p w14:paraId="0DEEB2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z w:val="22"/>
                <w:szCs w:val="22"/>
              </w:rPr>
              <w:t>总体方案</w:t>
            </w:r>
          </w:p>
          <w:p w14:paraId="56FEB1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eastAsia="zh-CN" w:bidi="ar"/>
              </w:rPr>
              <w:t>1</w:t>
            </w:r>
            <w:r>
              <w:rPr>
                <w:rFonts w:hint="eastAsia"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Hans" w:bidi="ar"/>
              </w:rPr>
              <w:t>分</w:t>
            </w:r>
            <w:r>
              <w:rPr>
                <w:rFonts w:hint="eastAsia" w:ascii="宋体" w:hAnsi="宋体" w:eastAsia="宋体" w:cs="宋体"/>
                <w:i w:val="0"/>
                <w:iCs w:val="0"/>
                <w:color w:val="000000"/>
                <w:kern w:val="0"/>
                <w:sz w:val="22"/>
                <w:szCs w:val="22"/>
                <w:u w:val="none"/>
                <w:lang w:val="en-US" w:eastAsia="zh-CN" w:bidi="ar"/>
              </w:rPr>
              <w:t>)</w:t>
            </w:r>
          </w:p>
        </w:tc>
        <w:tc>
          <w:tcPr>
            <w:tcW w:w="6771" w:type="dxa"/>
            <w:tcBorders>
              <w:top w:val="single" w:color="000000" w:sz="4" w:space="0"/>
              <w:left w:val="single" w:color="000000" w:sz="4" w:space="0"/>
              <w:bottom w:val="single" w:color="000000" w:sz="4" w:space="0"/>
              <w:right w:val="single" w:color="000000" w:sz="4" w:space="0"/>
            </w:tcBorders>
            <w:noWrap w:val="0"/>
            <w:vAlign w:val="center"/>
          </w:tcPr>
          <w:p w14:paraId="27946FF9">
            <w:pPr>
              <w:topLinePunct/>
              <w:snapToGrid w:val="0"/>
              <w:spacing w:line="340" w:lineRule="exact"/>
              <w:jc w:val="both"/>
              <w:rPr>
                <w:rFonts w:hint="eastAsia" w:ascii="宋体" w:hAnsi="宋体" w:eastAsia="宋体" w:cs="宋体"/>
                <w:sz w:val="22"/>
                <w:szCs w:val="22"/>
              </w:rPr>
            </w:pPr>
            <w:r>
              <w:rPr>
                <w:rFonts w:hint="eastAsia" w:ascii="宋体" w:hAnsi="宋体" w:eastAsia="宋体" w:cs="宋体"/>
                <w:sz w:val="22"/>
                <w:szCs w:val="22"/>
              </w:rPr>
              <w:t>对</w:t>
            </w:r>
            <w:r>
              <w:rPr>
                <w:rFonts w:hint="eastAsia" w:ascii="宋体" w:hAnsi="宋体" w:eastAsia="宋体" w:cs="宋体"/>
                <w:sz w:val="22"/>
                <w:szCs w:val="22"/>
                <w:lang w:val="en-US" w:eastAsia="zh-Hans"/>
              </w:rPr>
              <w:t>招标</w:t>
            </w:r>
            <w:r>
              <w:rPr>
                <w:rFonts w:hint="eastAsia" w:ascii="宋体" w:hAnsi="宋体" w:eastAsia="宋体" w:cs="宋体"/>
                <w:sz w:val="22"/>
                <w:szCs w:val="22"/>
              </w:rPr>
              <w:t>文件中提供的总体方案在以下方面进行综合评分：</w:t>
            </w:r>
          </w:p>
          <w:p w14:paraId="3F470D18">
            <w:pPr>
              <w:bidi w:val="0"/>
              <w:ind w:firstLine="440" w:firstLineChars="200"/>
              <w:jc w:val="both"/>
              <w:rPr>
                <w:rFonts w:hint="eastAsia" w:ascii="宋体" w:hAnsi="宋体" w:eastAsia="宋体" w:cs="宋体"/>
                <w:sz w:val="22"/>
                <w:szCs w:val="22"/>
              </w:rPr>
            </w:pPr>
            <w:r>
              <w:rPr>
                <w:rFonts w:hint="eastAsia" w:ascii="宋体" w:hAnsi="宋体" w:eastAsia="宋体" w:cs="宋体"/>
                <w:sz w:val="22"/>
                <w:szCs w:val="22"/>
              </w:rPr>
              <w:t>总体方案架构合理、系统完善、可扩展、前瞻性强，采用的技术成熟、先进，具备技术创新性与技术亮点，业务实现方案具备良好的操作性、实效性和业务创新性，实施方案合理、可控，得1</w:t>
            </w:r>
            <w:r>
              <w:rPr>
                <w:rFonts w:hint="eastAsia" w:cs="宋体"/>
                <w:sz w:val="22"/>
                <w:szCs w:val="22"/>
                <w:lang w:val="en-US" w:eastAsia="zh-CN"/>
              </w:rPr>
              <w:t>2</w:t>
            </w:r>
            <w:r>
              <w:rPr>
                <w:rFonts w:hint="eastAsia" w:ascii="宋体" w:hAnsi="宋体" w:eastAsia="宋体" w:cs="宋体"/>
                <w:sz w:val="22"/>
                <w:szCs w:val="22"/>
              </w:rPr>
              <w:t>分；</w:t>
            </w:r>
          </w:p>
          <w:p w14:paraId="78C1690E">
            <w:pPr>
              <w:bidi w:val="0"/>
              <w:ind w:firstLine="440" w:firstLineChars="200"/>
              <w:jc w:val="both"/>
              <w:rPr>
                <w:rFonts w:hint="eastAsia" w:ascii="宋体" w:hAnsi="宋体" w:eastAsia="宋体" w:cs="宋体"/>
                <w:sz w:val="22"/>
                <w:szCs w:val="22"/>
              </w:rPr>
            </w:pPr>
            <w:r>
              <w:rPr>
                <w:rFonts w:hint="eastAsia" w:ascii="宋体" w:hAnsi="宋体" w:eastAsia="宋体" w:cs="宋体"/>
                <w:sz w:val="22"/>
                <w:szCs w:val="22"/>
              </w:rPr>
              <w:t>总体方案架构较合理、系统较完善、可扩展、有前瞻性，采用的技术较成熟、先进，具备技术创新性与技术亮点，业务实现方案可操作、有实效性和业务创新性，实施方案较合理、可控，得</w:t>
            </w:r>
            <w:r>
              <w:rPr>
                <w:rFonts w:hint="eastAsia" w:cs="宋体"/>
                <w:sz w:val="22"/>
                <w:szCs w:val="22"/>
                <w:lang w:val="en-US" w:eastAsia="zh-CN"/>
              </w:rPr>
              <w:t>8</w:t>
            </w:r>
            <w:r>
              <w:rPr>
                <w:rFonts w:hint="eastAsia" w:ascii="宋体" w:hAnsi="宋体" w:eastAsia="宋体" w:cs="宋体"/>
                <w:sz w:val="22"/>
                <w:szCs w:val="22"/>
              </w:rPr>
              <w:t>分；</w:t>
            </w:r>
          </w:p>
          <w:p w14:paraId="46E7FE65">
            <w:pPr>
              <w:bidi w:val="0"/>
              <w:ind w:firstLine="440" w:firstLineChars="200"/>
              <w:jc w:val="both"/>
              <w:rPr>
                <w:rFonts w:hint="eastAsia" w:ascii="宋体" w:hAnsi="宋体" w:eastAsia="宋体" w:cs="宋体"/>
                <w:sz w:val="22"/>
                <w:szCs w:val="22"/>
              </w:rPr>
            </w:pPr>
            <w:r>
              <w:rPr>
                <w:rFonts w:hint="eastAsia" w:ascii="宋体" w:hAnsi="宋体" w:eastAsia="宋体" w:cs="宋体"/>
                <w:sz w:val="22"/>
                <w:szCs w:val="22"/>
              </w:rPr>
              <w:t>总体方案架构基本合理，采用的技术较成熟，业务实现方案可操作，实施方案基本合理、可控，得</w:t>
            </w:r>
            <w:r>
              <w:rPr>
                <w:rFonts w:hint="eastAsia" w:cs="宋体"/>
                <w:sz w:val="22"/>
                <w:szCs w:val="22"/>
                <w:lang w:val="en-US" w:eastAsia="zh-CN"/>
              </w:rPr>
              <w:t>4</w:t>
            </w:r>
            <w:r>
              <w:rPr>
                <w:rFonts w:hint="eastAsia" w:ascii="宋体" w:hAnsi="宋体" w:eastAsia="宋体" w:cs="宋体"/>
                <w:sz w:val="22"/>
                <w:szCs w:val="22"/>
              </w:rPr>
              <w:t>分；</w:t>
            </w:r>
          </w:p>
          <w:p w14:paraId="37868C98">
            <w:pPr>
              <w:keepNext w:val="0"/>
              <w:keepLines w:val="0"/>
              <w:widowControl/>
              <w:suppressLineNumbers w:val="0"/>
              <w:ind w:firstLine="440" w:firstLineChars="20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sz w:val="22"/>
                <w:szCs w:val="22"/>
              </w:rPr>
              <w:t>未提供方案或其他情况得0分。</w:t>
            </w:r>
          </w:p>
        </w:tc>
      </w:tr>
      <w:tr w14:paraId="2218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2907" w:type="dxa"/>
            <w:tcBorders>
              <w:top w:val="single" w:color="000000" w:sz="4" w:space="0"/>
              <w:left w:val="single" w:color="000000" w:sz="4" w:space="0"/>
              <w:bottom w:val="single" w:color="000000" w:sz="4" w:space="0"/>
              <w:right w:val="single" w:color="000000" w:sz="4" w:space="0"/>
            </w:tcBorders>
            <w:noWrap w:val="0"/>
            <w:vAlign w:val="center"/>
          </w:tcPr>
          <w:p w14:paraId="5C6581BA">
            <w:pPr>
              <w:keepNext w:val="0"/>
              <w:keepLines w:val="0"/>
              <w:widowControl/>
              <w:suppressLineNumbers w:val="0"/>
              <w:jc w:val="center"/>
              <w:textAlignment w:val="center"/>
              <w:rPr>
                <w:rFonts w:hint="eastAsia" w:ascii="宋体" w:hAnsi="宋体" w:eastAsia="宋体" w:cs="宋体"/>
                <w:sz w:val="22"/>
                <w:szCs w:val="22"/>
                <w:lang w:val="en-US" w:eastAsia="zh-Hans"/>
              </w:rPr>
            </w:pPr>
            <w:r>
              <w:rPr>
                <w:rFonts w:hint="eastAsia" w:ascii="宋体" w:hAnsi="宋体" w:eastAsia="宋体" w:cs="宋体"/>
                <w:sz w:val="22"/>
                <w:szCs w:val="22"/>
                <w:lang w:val="en-US" w:eastAsia="zh-Hans"/>
              </w:rPr>
              <w:t>英文网站建设能力</w:t>
            </w:r>
          </w:p>
          <w:p w14:paraId="1D4EAAA4">
            <w:pPr>
              <w:keepNext w:val="0"/>
              <w:keepLines w:val="0"/>
              <w:widowControl/>
              <w:suppressLineNumbers w:val="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eastAsia="zh-Hans"/>
              </w:rPr>
              <w:t>（</w:t>
            </w:r>
            <w:r>
              <w:rPr>
                <w:rFonts w:hint="eastAsia" w:cs="宋体"/>
                <w:sz w:val="22"/>
                <w:szCs w:val="22"/>
                <w:lang w:val="en-US" w:eastAsia="zh-CN"/>
              </w:rPr>
              <w:t>5</w:t>
            </w:r>
            <w:r>
              <w:rPr>
                <w:rFonts w:hint="eastAsia" w:ascii="宋体" w:hAnsi="宋体" w:eastAsia="宋体" w:cs="宋体"/>
                <w:sz w:val="22"/>
                <w:szCs w:val="22"/>
                <w:lang w:val="en-US" w:eastAsia="zh-Hans"/>
              </w:rPr>
              <w:t>分</w:t>
            </w:r>
            <w:r>
              <w:rPr>
                <w:rFonts w:hint="eastAsia" w:ascii="宋体" w:hAnsi="宋体" w:eastAsia="宋体" w:cs="宋体"/>
                <w:sz w:val="22"/>
                <w:szCs w:val="22"/>
                <w:lang w:eastAsia="zh-Hans"/>
              </w:rPr>
              <w:t>）</w:t>
            </w:r>
          </w:p>
        </w:tc>
        <w:tc>
          <w:tcPr>
            <w:tcW w:w="6771" w:type="dxa"/>
            <w:tcBorders>
              <w:top w:val="single" w:color="000000" w:sz="4" w:space="0"/>
              <w:left w:val="single" w:color="000000" w:sz="4" w:space="0"/>
              <w:bottom w:val="single" w:color="000000" w:sz="4" w:space="0"/>
              <w:right w:val="single" w:color="000000" w:sz="4" w:space="0"/>
            </w:tcBorders>
            <w:noWrap w:val="0"/>
            <w:vAlign w:val="center"/>
          </w:tcPr>
          <w:p w14:paraId="09722646">
            <w:pPr>
              <w:topLinePunct/>
              <w:snapToGrid w:val="0"/>
              <w:spacing w:line="340" w:lineRule="exact"/>
              <w:ind w:firstLine="440" w:firstLineChars="200"/>
              <w:jc w:val="both"/>
              <w:rPr>
                <w:rFonts w:hint="eastAsia" w:ascii="宋体" w:hAnsi="宋体" w:eastAsia="宋体" w:cs="宋体"/>
                <w:sz w:val="22"/>
                <w:szCs w:val="22"/>
                <w:lang w:val="en-US" w:eastAsia="zh-CN"/>
              </w:rPr>
            </w:pPr>
            <w:r>
              <w:rPr>
                <w:rFonts w:hint="eastAsia" w:ascii="宋体" w:hAnsi="宋体" w:eastAsia="宋体" w:cs="宋体"/>
                <w:sz w:val="22"/>
                <w:szCs w:val="22"/>
              </w:rPr>
              <w:t>投标人提供2020年1月1日至投标文件递交截止时间，</w:t>
            </w:r>
            <w:r>
              <w:rPr>
                <w:rFonts w:hint="eastAsia" w:ascii="宋体" w:hAnsi="宋体" w:eastAsia="宋体" w:cs="宋体"/>
                <w:sz w:val="22"/>
                <w:szCs w:val="22"/>
                <w:lang w:val="en-US" w:eastAsia="zh-CN"/>
              </w:rPr>
              <w:t>建设过</w:t>
            </w:r>
            <w:r>
              <w:rPr>
                <w:rFonts w:hint="eastAsia" w:ascii="宋体" w:hAnsi="宋体" w:eastAsia="宋体" w:cs="宋体"/>
                <w:sz w:val="22"/>
                <w:szCs w:val="22"/>
                <w:lang w:val="en-US" w:eastAsia="zh-Hans"/>
              </w:rPr>
              <w:t>英文网站项目</w:t>
            </w:r>
            <w:r>
              <w:rPr>
                <w:rFonts w:hint="eastAsia" w:ascii="宋体" w:hAnsi="宋体" w:eastAsia="宋体" w:cs="宋体"/>
                <w:sz w:val="22"/>
                <w:szCs w:val="22"/>
              </w:rPr>
              <w:t>建设或升级改造的，提供合同</w:t>
            </w:r>
            <w:r>
              <w:rPr>
                <w:rFonts w:hint="eastAsia" w:ascii="宋体" w:hAnsi="宋体" w:eastAsia="宋体" w:cs="宋体"/>
                <w:sz w:val="22"/>
                <w:szCs w:val="22"/>
                <w:lang w:val="en-US" w:eastAsia="zh-Hans"/>
              </w:rPr>
              <w:t>证明及网址</w:t>
            </w:r>
            <w:r>
              <w:rPr>
                <w:rFonts w:hint="eastAsia" w:ascii="宋体" w:hAnsi="宋体" w:eastAsia="宋体" w:cs="宋体"/>
                <w:sz w:val="22"/>
                <w:szCs w:val="22"/>
                <w:lang w:val="en-US" w:eastAsia="zh-CN"/>
              </w:rPr>
              <w:t>，</w:t>
            </w:r>
            <w:r>
              <w:rPr>
                <w:rFonts w:hint="eastAsia" w:ascii="宋体" w:hAnsi="宋体" w:eastAsia="宋体" w:cs="宋体"/>
                <w:sz w:val="22"/>
                <w:szCs w:val="22"/>
              </w:rPr>
              <w:t>得</w:t>
            </w:r>
            <w:r>
              <w:rPr>
                <w:rFonts w:hint="eastAsia" w:cs="宋体"/>
                <w:sz w:val="22"/>
                <w:szCs w:val="22"/>
                <w:lang w:val="en-US" w:eastAsia="zh-CN"/>
              </w:rPr>
              <w:t>5</w:t>
            </w:r>
            <w:r>
              <w:rPr>
                <w:rFonts w:hint="eastAsia" w:ascii="宋体" w:hAnsi="宋体" w:eastAsia="宋体" w:cs="宋体"/>
                <w:sz w:val="22"/>
                <w:szCs w:val="22"/>
              </w:rPr>
              <w:t>分</w:t>
            </w:r>
            <w:r>
              <w:rPr>
                <w:rFonts w:hint="eastAsia" w:cs="宋体"/>
                <w:sz w:val="22"/>
                <w:szCs w:val="22"/>
                <w:lang w:eastAsia="zh-CN"/>
              </w:rPr>
              <w:t>；</w:t>
            </w:r>
          </w:p>
          <w:p w14:paraId="08AAB451">
            <w:pPr>
              <w:topLinePunct/>
              <w:snapToGrid w:val="0"/>
              <w:spacing w:line="340" w:lineRule="exact"/>
              <w:ind w:firstLine="440" w:firstLineChars="200"/>
              <w:jc w:val="both"/>
              <w:rPr>
                <w:rFonts w:hint="eastAsia" w:ascii="宋体" w:hAnsi="宋体" w:eastAsia="宋体" w:cs="宋体"/>
                <w:i w:val="0"/>
                <w:iCs w:val="0"/>
                <w:color w:val="000000"/>
                <w:sz w:val="22"/>
                <w:szCs w:val="22"/>
                <w:u w:val="none"/>
              </w:rPr>
            </w:pPr>
            <w:r>
              <w:rPr>
                <w:rFonts w:hint="eastAsia" w:ascii="宋体" w:hAnsi="宋体" w:eastAsia="宋体" w:cs="宋体"/>
                <w:sz w:val="22"/>
                <w:szCs w:val="22"/>
                <w:lang w:val="en-US" w:eastAsia="zh-CN"/>
              </w:rPr>
              <w:t>未提供合同证明和网址，得0分。</w:t>
            </w:r>
          </w:p>
        </w:tc>
      </w:tr>
      <w:tr w14:paraId="0D74D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2907" w:type="dxa"/>
            <w:tcBorders>
              <w:top w:val="single" w:color="000000" w:sz="4" w:space="0"/>
              <w:left w:val="single" w:color="000000" w:sz="4" w:space="0"/>
              <w:bottom w:val="single" w:color="000000" w:sz="4" w:space="0"/>
              <w:right w:val="single" w:color="000000" w:sz="4" w:space="0"/>
            </w:tcBorders>
            <w:noWrap w:val="0"/>
            <w:vAlign w:val="center"/>
          </w:tcPr>
          <w:p w14:paraId="2B4EFFB3">
            <w:pPr>
              <w:pStyle w:val="5"/>
              <w:jc w:val="center"/>
              <w:rPr>
                <w:rFonts w:hint="eastAsia" w:ascii="宋体" w:hAnsi="宋体" w:eastAsia="宋体" w:cs="宋体"/>
                <w:sz w:val="22"/>
                <w:szCs w:val="22"/>
              </w:rPr>
            </w:pPr>
            <w:r>
              <w:rPr>
                <w:rFonts w:hint="eastAsia" w:ascii="宋体" w:hAnsi="宋体" w:eastAsia="宋体" w:cs="宋体"/>
                <w:sz w:val="22"/>
                <w:szCs w:val="22"/>
              </w:rPr>
              <w:t>培训支持</w:t>
            </w:r>
          </w:p>
          <w:p w14:paraId="015BD47A">
            <w:pPr>
              <w:pStyle w:val="5"/>
              <w:jc w:val="center"/>
              <w:rPr>
                <w:rFonts w:hint="eastAsia" w:ascii="宋体" w:hAnsi="宋体" w:eastAsia="宋体" w:cs="宋体"/>
                <w:sz w:val="22"/>
                <w:szCs w:val="22"/>
                <w:lang w:eastAsia="zh-Hans"/>
              </w:rPr>
            </w:pPr>
            <w:r>
              <w:rPr>
                <w:rFonts w:hint="eastAsia" w:ascii="宋体" w:hAnsi="宋体" w:eastAsia="宋体" w:cs="宋体"/>
                <w:sz w:val="22"/>
                <w:szCs w:val="22"/>
              </w:rPr>
              <w:t>（</w:t>
            </w:r>
            <w:r>
              <w:rPr>
                <w:rFonts w:hint="eastAsia" w:cs="宋体"/>
                <w:sz w:val="22"/>
                <w:szCs w:val="22"/>
                <w:lang w:val="en-US" w:eastAsia="zh-CN"/>
              </w:rPr>
              <w:t>12</w:t>
            </w:r>
            <w:r>
              <w:rPr>
                <w:rFonts w:hint="eastAsia" w:ascii="宋体" w:hAnsi="宋体" w:eastAsia="宋体" w:cs="宋体"/>
                <w:sz w:val="22"/>
                <w:szCs w:val="22"/>
                <w:lang w:val="en-US" w:eastAsia="zh-Hans"/>
              </w:rPr>
              <w:t>分</w:t>
            </w:r>
            <w:r>
              <w:rPr>
                <w:rFonts w:hint="eastAsia" w:ascii="宋体" w:hAnsi="宋体" w:eastAsia="宋体" w:cs="宋体"/>
                <w:sz w:val="22"/>
                <w:szCs w:val="22"/>
              </w:rPr>
              <w:t>）</w:t>
            </w:r>
          </w:p>
        </w:tc>
        <w:tc>
          <w:tcPr>
            <w:tcW w:w="6771" w:type="dxa"/>
            <w:tcBorders>
              <w:top w:val="single" w:color="000000" w:sz="4" w:space="0"/>
              <w:left w:val="single" w:color="000000" w:sz="4" w:space="0"/>
              <w:bottom w:val="single" w:color="000000" w:sz="4" w:space="0"/>
              <w:right w:val="single" w:color="000000" w:sz="4" w:space="0"/>
            </w:tcBorders>
            <w:noWrap w:val="0"/>
            <w:vAlign w:val="center"/>
          </w:tcPr>
          <w:p w14:paraId="2D3DBA23">
            <w:pPr>
              <w:pStyle w:val="5"/>
              <w:numPr>
                <w:ilvl w:val="0"/>
                <w:numId w:val="0"/>
              </w:numPr>
              <w:ind w:firstLine="440" w:firstLineChars="200"/>
              <w:jc w:val="both"/>
              <w:rPr>
                <w:rFonts w:hint="eastAsia" w:cs="宋体"/>
                <w:color w:val="auto"/>
                <w:sz w:val="22"/>
                <w:szCs w:val="22"/>
                <w:lang w:val="en-US" w:eastAsia="zh-CN"/>
              </w:rPr>
            </w:pPr>
            <w:r>
              <w:rPr>
                <w:rFonts w:hint="eastAsia" w:ascii="宋体" w:hAnsi="宋体" w:eastAsia="宋体" w:cs="宋体"/>
                <w:sz w:val="22"/>
                <w:szCs w:val="22"/>
              </w:rPr>
              <w:t>提供免费的使用、</w:t>
            </w:r>
            <w:r>
              <w:rPr>
                <w:rFonts w:hint="eastAsia" w:ascii="宋体" w:hAnsi="宋体" w:eastAsia="宋体" w:cs="宋体"/>
                <w:color w:val="auto"/>
                <w:sz w:val="22"/>
                <w:szCs w:val="22"/>
              </w:rPr>
              <w:t>维护方面的培训，培训计划完善，得</w:t>
            </w:r>
            <w:r>
              <w:rPr>
                <w:rFonts w:hint="eastAsia" w:cs="宋体"/>
                <w:color w:val="auto"/>
                <w:sz w:val="22"/>
                <w:szCs w:val="22"/>
                <w:lang w:val="en-US" w:eastAsia="zh-CN"/>
              </w:rPr>
              <w:t>12</w:t>
            </w:r>
            <w:r>
              <w:rPr>
                <w:rFonts w:hint="eastAsia" w:ascii="宋体" w:hAnsi="宋体" w:eastAsia="宋体" w:cs="宋体"/>
                <w:color w:val="auto"/>
                <w:sz w:val="22"/>
                <w:szCs w:val="22"/>
                <w:lang w:val="en-US"/>
              </w:rPr>
              <w:t>分</w:t>
            </w:r>
            <w:r>
              <w:rPr>
                <w:rFonts w:hint="eastAsia" w:cs="宋体"/>
                <w:color w:val="auto"/>
                <w:sz w:val="22"/>
                <w:szCs w:val="22"/>
                <w:lang w:val="en-US" w:eastAsia="zh-CN"/>
              </w:rPr>
              <w:t>；</w:t>
            </w:r>
          </w:p>
          <w:p w14:paraId="6F9F0A9C">
            <w:pPr>
              <w:pStyle w:val="5"/>
              <w:numPr>
                <w:ilvl w:val="0"/>
                <w:numId w:val="0"/>
              </w:numPr>
              <w:ind w:left="440" w:leftChars="200" w:firstLine="0" w:firstLineChars="0"/>
              <w:jc w:val="both"/>
              <w:rPr>
                <w:rFonts w:hint="eastAsia" w:ascii="宋体" w:hAnsi="宋体" w:eastAsia="宋体" w:cs="宋体"/>
                <w:color w:val="auto"/>
                <w:sz w:val="22"/>
                <w:szCs w:val="22"/>
                <w:lang w:val="en-US"/>
              </w:rPr>
            </w:pPr>
            <w:r>
              <w:rPr>
                <w:rFonts w:hint="eastAsia" w:ascii="宋体" w:hAnsi="宋体" w:eastAsia="宋体" w:cs="宋体"/>
                <w:color w:val="auto"/>
                <w:sz w:val="22"/>
                <w:szCs w:val="22"/>
              </w:rPr>
              <w:t>提供使用、维护方面的培训，但是需要支付一定的费用，得</w:t>
            </w:r>
            <w:r>
              <w:rPr>
                <w:rFonts w:hint="eastAsia" w:cs="宋体"/>
                <w:color w:val="auto"/>
                <w:sz w:val="22"/>
                <w:szCs w:val="22"/>
                <w:lang w:val="en-US" w:eastAsia="zh-CN"/>
              </w:rPr>
              <w:t>8</w:t>
            </w:r>
            <w:r>
              <w:rPr>
                <w:rFonts w:hint="eastAsia" w:ascii="宋体" w:hAnsi="宋体" w:eastAsia="宋体" w:cs="宋体"/>
                <w:color w:val="auto"/>
                <w:sz w:val="22"/>
                <w:szCs w:val="22"/>
                <w:lang w:val="en-US"/>
              </w:rPr>
              <w:t>分</w:t>
            </w:r>
          </w:p>
          <w:p w14:paraId="06A48036">
            <w:pPr>
              <w:pStyle w:val="5"/>
              <w:numPr>
                <w:ilvl w:val="0"/>
                <w:numId w:val="0"/>
              </w:numPr>
              <w:ind w:firstLine="440" w:firstLineChars="200"/>
              <w:jc w:val="both"/>
              <w:rPr>
                <w:rFonts w:hint="eastAsia" w:ascii="宋体" w:hAnsi="宋体" w:eastAsia="宋体" w:cs="宋体"/>
                <w:color w:val="auto"/>
                <w:sz w:val="22"/>
                <w:szCs w:val="22"/>
                <w:lang w:eastAsia="zh-CN"/>
              </w:rPr>
            </w:pPr>
            <w:r>
              <w:rPr>
                <w:rFonts w:hint="eastAsia" w:ascii="宋体" w:hAnsi="宋体" w:eastAsia="宋体" w:cs="宋体"/>
                <w:color w:val="auto"/>
                <w:sz w:val="22"/>
                <w:szCs w:val="22"/>
              </w:rPr>
              <w:t>不提供使用、维护方面的培训，缺乏相关的培训支撑资源，得</w:t>
            </w:r>
            <w:r>
              <w:rPr>
                <w:rFonts w:hint="eastAsia" w:cs="宋体"/>
                <w:color w:val="auto"/>
                <w:sz w:val="22"/>
                <w:szCs w:val="22"/>
                <w:lang w:val="en-US" w:eastAsia="zh-CN"/>
              </w:rPr>
              <w:t>4</w:t>
            </w:r>
            <w:r>
              <w:rPr>
                <w:rFonts w:hint="eastAsia" w:ascii="宋体" w:hAnsi="宋体" w:eastAsia="宋体" w:cs="宋体"/>
                <w:color w:val="auto"/>
                <w:sz w:val="22"/>
                <w:szCs w:val="22"/>
              </w:rPr>
              <w:t>分</w:t>
            </w:r>
            <w:r>
              <w:rPr>
                <w:rFonts w:hint="eastAsia" w:cs="宋体"/>
                <w:color w:val="auto"/>
                <w:sz w:val="22"/>
                <w:szCs w:val="22"/>
                <w:lang w:eastAsia="zh-CN"/>
              </w:rPr>
              <w:t>；</w:t>
            </w:r>
          </w:p>
          <w:p w14:paraId="55EC12B4">
            <w:pPr>
              <w:pStyle w:val="5"/>
              <w:numPr>
                <w:ilvl w:val="0"/>
                <w:numId w:val="0"/>
              </w:numPr>
              <w:ind w:left="0" w:leftChars="0" w:firstLine="440" w:firstLineChars="200"/>
              <w:jc w:val="both"/>
              <w:rPr>
                <w:rFonts w:hint="eastAsia" w:ascii="宋体" w:hAnsi="宋体" w:eastAsia="宋体" w:cs="宋体"/>
                <w:sz w:val="22"/>
                <w:szCs w:val="22"/>
                <w:lang w:val="en-US" w:eastAsia="zh-CN"/>
              </w:rPr>
            </w:pPr>
            <w:r>
              <w:rPr>
                <w:rFonts w:hint="eastAsia" w:ascii="宋体" w:hAnsi="宋体" w:eastAsia="宋体" w:cs="宋体"/>
                <w:color w:val="auto"/>
                <w:sz w:val="22"/>
                <w:szCs w:val="22"/>
                <w:lang w:val="en-US" w:eastAsia="zh-Hans"/>
              </w:rPr>
              <w:t>不提供得</w:t>
            </w:r>
            <w:r>
              <w:rPr>
                <w:rFonts w:hint="eastAsia" w:ascii="宋体" w:hAnsi="宋体" w:eastAsia="宋体" w:cs="宋体"/>
                <w:color w:val="auto"/>
                <w:sz w:val="22"/>
                <w:szCs w:val="22"/>
                <w:lang w:eastAsia="zh-Hans"/>
              </w:rPr>
              <w:t>0</w:t>
            </w:r>
            <w:r>
              <w:rPr>
                <w:rFonts w:hint="eastAsia" w:ascii="宋体" w:hAnsi="宋体" w:eastAsia="宋体" w:cs="宋体"/>
                <w:color w:val="auto"/>
                <w:sz w:val="22"/>
                <w:szCs w:val="22"/>
                <w:lang w:val="en-US" w:eastAsia="zh-Hans"/>
              </w:rPr>
              <w:t>分</w:t>
            </w:r>
            <w:r>
              <w:rPr>
                <w:rFonts w:hint="eastAsia" w:ascii="宋体" w:hAnsi="宋体" w:eastAsia="宋体" w:cs="宋体"/>
                <w:color w:val="auto"/>
                <w:sz w:val="22"/>
                <w:szCs w:val="22"/>
                <w:lang w:eastAsia="zh-Hans"/>
              </w:rPr>
              <w:t>。</w:t>
            </w:r>
          </w:p>
        </w:tc>
      </w:tr>
      <w:tr w14:paraId="79D6C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2907" w:type="dxa"/>
            <w:tcBorders>
              <w:top w:val="single" w:color="000000" w:sz="4" w:space="0"/>
              <w:left w:val="single" w:color="000000" w:sz="4" w:space="0"/>
              <w:bottom w:val="single" w:color="000000" w:sz="4" w:space="0"/>
              <w:right w:val="single" w:color="000000" w:sz="4" w:space="0"/>
            </w:tcBorders>
            <w:noWrap w:val="0"/>
            <w:vAlign w:val="center"/>
          </w:tcPr>
          <w:p w14:paraId="4D06023A">
            <w:pPr>
              <w:pStyle w:val="5"/>
              <w:jc w:val="center"/>
              <w:rPr>
                <w:rFonts w:hint="eastAsia" w:ascii="宋体" w:hAnsi="宋体" w:eastAsia="宋体" w:cs="宋体"/>
                <w:sz w:val="22"/>
                <w:szCs w:val="22"/>
              </w:rPr>
            </w:pPr>
            <w:r>
              <w:rPr>
                <w:rFonts w:hint="eastAsia" w:ascii="宋体" w:hAnsi="宋体" w:eastAsia="宋体" w:cs="宋体"/>
                <w:sz w:val="22"/>
                <w:szCs w:val="22"/>
              </w:rPr>
              <w:t>日常巡查方案</w:t>
            </w:r>
          </w:p>
          <w:p w14:paraId="44530D1C">
            <w:pPr>
              <w:pStyle w:val="5"/>
              <w:jc w:val="center"/>
              <w:rPr>
                <w:rFonts w:hint="eastAsia" w:ascii="宋体" w:hAnsi="宋体" w:eastAsia="宋体" w:cs="宋体"/>
                <w:sz w:val="22"/>
                <w:szCs w:val="22"/>
                <w:lang w:eastAsia="zh-Hans"/>
              </w:rPr>
            </w:pPr>
            <w:r>
              <w:rPr>
                <w:rFonts w:hint="eastAsia" w:ascii="宋体" w:hAnsi="宋体" w:eastAsia="宋体" w:cs="宋体"/>
                <w:sz w:val="22"/>
                <w:szCs w:val="22"/>
              </w:rPr>
              <w:t>（</w:t>
            </w:r>
            <w:r>
              <w:rPr>
                <w:rFonts w:hint="eastAsia" w:cs="宋体"/>
                <w:sz w:val="22"/>
                <w:szCs w:val="22"/>
                <w:lang w:val="en-US" w:eastAsia="zh-CN"/>
              </w:rPr>
              <w:t>7</w:t>
            </w:r>
            <w:r>
              <w:rPr>
                <w:rFonts w:hint="eastAsia" w:ascii="宋体" w:hAnsi="宋体" w:eastAsia="宋体" w:cs="宋体"/>
                <w:sz w:val="22"/>
                <w:szCs w:val="22"/>
                <w:lang w:val="en-US" w:eastAsia="zh-Hans"/>
              </w:rPr>
              <w:t>分</w:t>
            </w:r>
            <w:r>
              <w:rPr>
                <w:rFonts w:hint="eastAsia" w:ascii="宋体" w:hAnsi="宋体" w:eastAsia="宋体" w:cs="宋体"/>
                <w:sz w:val="22"/>
                <w:szCs w:val="22"/>
                <w:lang w:eastAsia="zh-Hans"/>
              </w:rPr>
              <w:t>）</w:t>
            </w:r>
          </w:p>
        </w:tc>
        <w:tc>
          <w:tcPr>
            <w:tcW w:w="6771" w:type="dxa"/>
            <w:tcBorders>
              <w:top w:val="single" w:color="000000" w:sz="4" w:space="0"/>
              <w:left w:val="single" w:color="000000" w:sz="4" w:space="0"/>
              <w:bottom w:val="single" w:color="000000" w:sz="4" w:space="0"/>
              <w:right w:val="single" w:color="000000" w:sz="4" w:space="0"/>
            </w:tcBorders>
            <w:noWrap w:val="0"/>
            <w:vAlign w:val="center"/>
          </w:tcPr>
          <w:p w14:paraId="3D381202">
            <w:pPr>
              <w:ind w:firstLine="440" w:firstLineChars="200"/>
              <w:jc w:val="both"/>
              <w:rPr>
                <w:rFonts w:hint="eastAsia" w:ascii="宋体" w:hAnsi="宋体" w:eastAsia="宋体" w:cs="宋体"/>
                <w:sz w:val="22"/>
                <w:szCs w:val="22"/>
              </w:rPr>
            </w:pPr>
            <w:r>
              <w:rPr>
                <w:rFonts w:hint="eastAsia" w:ascii="宋体" w:hAnsi="宋体" w:eastAsia="宋体" w:cs="宋体"/>
                <w:sz w:val="22"/>
                <w:szCs w:val="22"/>
              </w:rPr>
              <w:t>日常巡查方案具有针对性、条理清晰，对日常巡查有具体详细可行的措施，得</w:t>
            </w:r>
            <w:r>
              <w:rPr>
                <w:rFonts w:hint="eastAsia" w:cs="宋体"/>
                <w:sz w:val="22"/>
                <w:szCs w:val="22"/>
                <w:lang w:val="en-US" w:eastAsia="zh-CN"/>
              </w:rPr>
              <w:t>7</w:t>
            </w:r>
            <w:r>
              <w:rPr>
                <w:rFonts w:hint="eastAsia" w:ascii="宋体" w:hAnsi="宋体" w:eastAsia="宋体" w:cs="宋体"/>
                <w:sz w:val="22"/>
                <w:szCs w:val="22"/>
              </w:rPr>
              <w:t>分；</w:t>
            </w:r>
          </w:p>
          <w:p w14:paraId="28F4B9A2">
            <w:pPr>
              <w:ind w:firstLine="440" w:firstLineChars="200"/>
              <w:jc w:val="both"/>
              <w:rPr>
                <w:rFonts w:hint="eastAsia" w:ascii="宋体" w:hAnsi="宋体" w:eastAsia="宋体" w:cs="宋体"/>
                <w:sz w:val="22"/>
                <w:szCs w:val="22"/>
              </w:rPr>
            </w:pPr>
            <w:r>
              <w:rPr>
                <w:rFonts w:hint="eastAsia" w:ascii="宋体" w:hAnsi="宋体" w:eastAsia="宋体" w:cs="宋体"/>
                <w:sz w:val="22"/>
                <w:szCs w:val="22"/>
              </w:rPr>
              <w:t>日常巡查方案针对性一般、条理较清晰，对日常巡查有具体详细可行的措施，得</w:t>
            </w:r>
            <w:r>
              <w:rPr>
                <w:rFonts w:hint="eastAsia" w:cs="宋体"/>
                <w:sz w:val="22"/>
                <w:szCs w:val="22"/>
                <w:lang w:val="en-US" w:eastAsia="zh-CN"/>
              </w:rPr>
              <w:t>4</w:t>
            </w:r>
            <w:r>
              <w:rPr>
                <w:rFonts w:hint="eastAsia" w:ascii="宋体" w:hAnsi="宋体" w:eastAsia="宋体" w:cs="宋体"/>
                <w:sz w:val="22"/>
                <w:szCs w:val="22"/>
              </w:rPr>
              <w:t>分；</w:t>
            </w:r>
          </w:p>
          <w:p w14:paraId="34D39A5C">
            <w:pPr>
              <w:pStyle w:val="5"/>
              <w:ind w:firstLine="440" w:firstLineChars="200"/>
              <w:jc w:val="both"/>
              <w:rPr>
                <w:rFonts w:hint="eastAsia" w:ascii="宋体" w:hAnsi="宋体" w:eastAsia="宋体" w:cs="宋体"/>
                <w:sz w:val="22"/>
                <w:szCs w:val="22"/>
                <w:lang w:val="en-US" w:eastAsia="zh-CN"/>
              </w:rPr>
            </w:pPr>
            <w:r>
              <w:rPr>
                <w:rFonts w:hint="eastAsia" w:ascii="宋体" w:hAnsi="宋体" w:eastAsia="宋体" w:cs="宋体"/>
                <w:sz w:val="22"/>
                <w:szCs w:val="22"/>
              </w:rPr>
              <w:t>日常巡查方案针对性不强、条理一般，对日常巡查有具体措施，得1分。</w:t>
            </w:r>
          </w:p>
        </w:tc>
      </w:tr>
    </w:tbl>
    <w:p w14:paraId="4B9EA33F">
      <w:pPr>
        <w:pStyle w:val="5"/>
        <w:spacing w:before="3"/>
      </w:pPr>
      <w:r>
        <w:t>备注：</w:t>
      </w:r>
    </w:p>
    <w:p w14:paraId="376856C1">
      <w:pPr>
        <w:pStyle w:val="14"/>
        <w:numPr>
          <w:ilvl w:val="1"/>
          <w:numId w:val="13"/>
        </w:numPr>
        <w:tabs>
          <w:tab w:val="left" w:pos="1106"/>
          <w:tab w:val="left" w:pos="1107"/>
        </w:tabs>
        <w:spacing w:before="139" w:line="364" w:lineRule="auto"/>
        <w:ind w:right="432"/>
        <w:rPr>
          <w:sz w:val="21"/>
        </w:rPr>
      </w:pPr>
      <w:r>
        <w:rPr>
          <w:spacing w:val="-4"/>
          <w:sz w:val="21"/>
        </w:rPr>
        <w:t xml:space="preserve">招标文件要求提交的与评价指标体系相关的各类有效资料，投标人如未按要求提交的， </w:t>
      </w:r>
      <w:r>
        <w:rPr>
          <w:spacing w:val="-3"/>
          <w:sz w:val="21"/>
        </w:rPr>
        <w:t>该项评分为零分。</w:t>
      </w:r>
    </w:p>
    <w:p w14:paraId="36D1C948">
      <w:pPr>
        <w:pStyle w:val="14"/>
        <w:numPr>
          <w:ilvl w:val="1"/>
          <w:numId w:val="13"/>
        </w:numPr>
        <w:tabs>
          <w:tab w:val="left" w:pos="1106"/>
          <w:tab w:val="left" w:pos="1107"/>
        </w:tabs>
        <w:spacing w:before="1"/>
        <w:rPr>
          <w:sz w:val="21"/>
        </w:rPr>
      </w:pPr>
      <w:r>
        <w:rPr>
          <w:spacing w:val="-15"/>
          <w:sz w:val="21"/>
        </w:rPr>
        <w:t>技术评分：所有评委评分分值的算术平均值</w:t>
      </w:r>
      <w:r>
        <w:rPr>
          <w:sz w:val="21"/>
        </w:rPr>
        <w:t>（</w:t>
      </w:r>
      <w:r>
        <w:rPr>
          <w:spacing w:val="-11"/>
          <w:sz w:val="21"/>
        </w:rPr>
        <w:t>四舍五入后，小数点后保留两位有效数</w:t>
      </w:r>
      <w:r>
        <w:rPr>
          <w:spacing w:val="-75"/>
          <w:sz w:val="21"/>
        </w:rPr>
        <w:t>）。</w:t>
      </w:r>
    </w:p>
    <w:p w14:paraId="7DDCDC6C">
      <w:pPr>
        <w:rPr>
          <w:sz w:val="21"/>
        </w:rPr>
        <w:sectPr>
          <w:pgSz w:w="11910" w:h="16840"/>
          <w:pgMar w:top="1360" w:right="1340" w:bottom="1420" w:left="1020" w:header="877" w:footer="1216" w:gutter="0"/>
          <w:pgNumType w:fmt="decimal"/>
          <w:cols w:space="720" w:num="1"/>
        </w:sectPr>
      </w:pPr>
    </w:p>
    <w:p w14:paraId="3F44F631">
      <w:pPr>
        <w:spacing w:before="68"/>
        <w:ind w:left="842" w:right="899"/>
        <w:jc w:val="center"/>
        <w:rPr>
          <w:b/>
          <w:sz w:val="28"/>
        </w:rPr>
      </w:pPr>
      <w:r>
        <w:rPr>
          <w:b/>
          <w:sz w:val="28"/>
        </w:rPr>
        <w:t>商务部分评分表（</w:t>
      </w:r>
      <w:r>
        <w:rPr>
          <w:rFonts w:hint="default"/>
          <w:b/>
          <w:sz w:val="28"/>
        </w:rPr>
        <w:t>30</w:t>
      </w:r>
      <w:r>
        <w:rPr>
          <w:b/>
          <w:sz w:val="28"/>
        </w:rPr>
        <w:t>分）</w:t>
      </w:r>
    </w:p>
    <w:p w14:paraId="7A108AB1">
      <w:pPr>
        <w:bidi w:val="0"/>
        <w:rPr>
          <w:rFonts w:hint="eastAsia"/>
          <w:sz w:val="21"/>
          <w:szCs w:val="21"/>
        </w:rPr>
      </w:pPr>
      <w:r>
        <w:t>项目名称：</w:t>
      </w:r>
      <w:r>
        <w:rPr>
          <w:rFonts w:hint="eastAsia"/>
          <w:sz w:val="21"/>
          <w:szCs w:val="21"/>
        </w:rPr>
        <w:t>2024年广州医科大学附属妇女儿童医疗中心官网升级改版项目</w:t>
      </w:r>
    </w:p>
    <w:p w14:paraId="4791477B"/>
    <w:p w14:paraId="23303D4A">
      <w:r>
        <w:t>项目编号：</w:t>
      </w:r>
    </w:p>
    <w:tbl>
      <w:tblPr>
        <w:tblStyle w:val="11"/>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6946"/>
      </w:tblGrid>
      <w:tr w14:paraId="52EA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noWrap w:val="0"/>
            <w:vAlign w:val="center"/>
          </w:tcPr>
          <w:p w14:paraId="63FFF076">
            <w:pPr>
              <w:jc w:val="center"/>
              <w:rPr>
                <w:b/>
              </w:rPr>
            </w:pPr>
            <w:r>
              <w:rPr>
                <w:b/>
              </w:rPr>
              <w:t>评审内容</w:t>
            </w:r>
          </w:p>
        </w:tc>
        <w:tc>
          <w:tcPr>
            <w:tcW w:w="6946" w:type="dxa"/>
            <w:noWrap w:val="0"/>
            <w:vAlign w:val="center"/>
          </w:tcPr>
          <w:p w14:paraId="2D16CDBC">
            <w:pPr>
              <w:jc w:val="center"/>
              <w:rPr>
                <w:b/>
              </w:rPr>
            </w:pPr>
            <w:r>
              <w:rPr>
                <w:b/>
              </w:rPr>
              <w:t>评分标准</w:t>
            </w:r>
          </w:p>
        </w:tc>
      </w:tr>
      <w:tr w14:paraId="233C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2126" w:type="dxa"/>
            <w:noWrap w:val="0"/>
            <w:vAlign w:val="center"/>
          </w:tcPr>
          <w:p w14:paraId="27C1FCB8">
            <w:pPr>
              <w:bidi w:val="0"/>
              <w:jc w:val="center"/>
              <w:rPr>
                <w:rFonts w:hint="eastAsia"/>
                <w:lang w:val="en-US" w:eastAsia="zh-CN"/>
              </w:rPr>
            </w:pPr>
            <w:r>
              <w:rPr>
                <w:rFonts w:hint="eastAsia"/>
                <w:lang w:val="en-US" w:eastAsia="zh-CN"/>
              </w:rPr>
              <w:t>投标人综合服务支撑能力</w:t>
            </w:r>
          </w:p>
          <w:p w14:paraId="10BD56BD">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w:t>
            </w:r>
            <w:r>
              <w:rPr>
                <w:rFonts w:hint="eastAsia" w:cs="宋体"/>
                <w:color w:val="000000"/>
                <w:kern w:val="0"/>
                <w:sz w:val="21"/>
                <w:szCs w:val="21"/>
                <w:lang w:val="en-US" w:eastAsia="zh-CN" w:bidi="ar"/>
              </w:rPr>
              <w:t>6</w:t>
            </w:r>
            <w:r>
              <w:rPr>
                <w:rFonts w:hint="eastAsia" w:ascii="宋体" w:hAnsi="宋体" w:eastAsia="宋体" w:cs="宋体"/>
                <w:color w:val="000000"/>
                <w:kern w:val="0"/>
                <w:sz w:val="21"/>
                <w:szCs w:val="21"/>
                <w:lang w:val="en-US" w:eastAsia="zh-CN" w:bidi="ar"/>
              </w:rPr>
              <w:t>分)</w:t>
            </w:r>
          </w:p>
        </w:tc>
        <w:tc>
          <w:tcPr>
            <w:tcW w:w="6946" w:type="dxa"/>
            <w:noWrap w:val="0"/>
            <w:vAlign w:val="center"/>
          </w:tcPr>
          <w:p w14:paraId="248AC493">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投标人提供函承诺确保将在维保期开始前使用现有或成立售后服务机构，</w:t>
            </w:r>
          </w:p>
          <w:p w14:paraId="2B659975">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保证售后服务短时间内到达现场，2小时内得</w:t>
            </w:r>
            <w:r>
              <w:rPr>
                <w:rFonts w:hint="eastAsia" w:cs="宋体"/>
                <w:color w:val="000000"/>
                <w:kern w:val="0"/>
                <w:sz w:val="21"/>
                <w:szCs w:val="21"/>
                <w:lang w:val="en-US" w:eastAsia="zh-CN" w:bidi="ar"/>
              </w:rPr>
              <w:t>6</w:t>
            </w:r>
            <w:r>
              <w:rPr>
                <w:rFonts w:hint="eastAsia" w:ascii="宋体" w:hAnsi="宋体" w:eastAsia="宋体" w:cs="宋体"/>
                <w:color w:val="000000"/>
                <w:kern w:val="0"/>
                <w:sz w:val="21"/>
                <w:szCs w:val="21"/>
                <w:lang w:val="en-US" w:eastAsia="zh-CN" w:bidi="ar"/>
              </w:rPr>
              <w:t>分，4小时内得3分，无承诺</w:t>
            </w:r>
          </w:p>
          <w:p w14:paraId="481A57DB">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函不得分。</w:t>
            </w:r>
          </w:p>
        </w:tc>
      </w:tr>
      <w:tr w14:paraId="2314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trPr>
        <w:tc>
          <w:tcPr>
            <w:tcW w:w="2126" w:type="dxa"/>
            <w:noWrap w:val="0"/>
            <w:vAlign w:val="center"/>
          </w:tcPr>
          <w:p w14:paraId="73D1D9D9">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对非重大违法违规记录的扣分</w:t>
            </w:r>
          </w:p>
          <w:p w14:paraId="57F0C71B">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r>
              <w:rPr>
                <w:rFonts w:hint="eastAsia" w:cs="宋体"/>
                <w:color w:val="000000"/>
                <w:kern w:val="0"/>
                <w:sz w:val="21"/>
                <w:szCs w:val="21"/>
                <w:lang w:val="en-US" w:eastAsia="zh-CN" w:bidi="ar"/>
              </w:rPr>
              <w:t>6</w:t>
            </w:r>
            <w:r>
              <w:rPr>
                <w:rFonts w:hint="eastAsia" w:ascii="宋体" w:hAnsi="宋体" w:eastAsia="宋体" w:cs="宋体"/>
                <w:color w:val="000000"/>
                <w:kern w:val="0"/>
                <w:sz w:val="21"/>
                <w:szCs w:val="21"/>
                <w:lang w:val="en-US" w:eastAsia="zh-CN" w:bidi="ar"/>
              </w:rPr>
              <w:t>分)</w:t>
            </w:r>
          </w:p>
        </w:tc>
        <w:tc>
          <w:tcPr>
            <w:tcW w:w="6946" w:type="dxa"/>
            <w:noWrap w:val="0"/>
            <w:vAlign w:val="center"/>
          </w:tcPr>
          <w:p w14:paraId="1B39C6F9">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以“信用中国”（www.creditchina.gov.cn）网站为查询渠道：对列入行</w:t>
            </w:r>
          </w:p>
          <w:p w14:paraId="5EDEA433">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政处罚或失信惩戒的投标人每一条记录扣</w:t>
            </w:r>
            <w:r>
              <w:rPr>
                <w:rFonts w:hint="default" w:ascii="宋体" w:hAnsi="宋体" w:eastAsia="宋体" w:cs="宋体"/>
                <w:color w:val="000000"/>
                <w:kern w:val="0"/>
                <w:sz w:val="21"/>
                <w:szCs w:val="21"/>
                <w:lang w:eastAsia="zh-CN" w:bidi="ar"/>
              </w:rPr>
              <w:t>1</w:t>
            </w:r>
            <w:r>
              <w:rPr>
                <w:rFonts w:hint="eastAsia" w:ascii="宋体" w:hAnsi="宋体" w:eastAsia="宋体" w:cs="宋体"/>
                <w:color w:val="000000"/>
                <w:kern w:val="0"/>
                <w:sz w:val="21"/>
                <w:szCs w:val="21"/>
                <w:lang w:val="en-US" w:eastAsia="zh-CN" w:bidi="ar"/>
              </w:rPr>
              <w:t>分，最高扣</w:t>
            </w:r>
            <w:r>
              <w:rPr>
                <w:rFonts w:hint="eastAsia" w:cs="宋体"/>
                <w:color w:val="000000"/>
                <w:kern w:val="0"/>
                <w:sz w:val="21"/>
                <w:szCs w:val="21"/>
                <w:lang w:val="en-US" w:eastAsia="zh-CN" w:bidi="ar"/>
              </w:rPr>
              <w:t>6</w:t>
            </w:r>
            <w:r>
              <w:rPr>
                <w:rFonts w:hint="eastAsia" w:ascii="宋体" w:hAnsi="宋体" w:eastAsia="宋体" w:cs="宋体"/>
                <w:color w:val="000000"/>
                <w:kern w:val="0"/>
                <w:sz w:val="21"/>
                <w:szCs w:val="21"/>
                <w:lang w:val="en-US" w:eastAsia="zh-CN" w:bidi="ar"/>
              </w:rPr>
              <w:t>分。如查询结果</w:t>
            </w:r>
          </w:p>
          <w:p w14:paraId="79C9DF25">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显示没有相关记录，视为没有上述非重大违法违规记录，则不扣分。以评</w:t>
            </w:r>
          </w:p>
          <w:p w14:paraId="523FB9D1">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标委员会于评审时在上述网站查询结果为准，评标委员会应将上述记录查</w:t>
            </w:r>
          </w:p>
          <w:p w14:paraId="2A6DFC25">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询情况截图存档。注：总公司（总所）投标的，只查询总公司（总所）；</w:t>
            </w:r>
          </w:p>
          <w:p w14:paraId="75BB44B1">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分支机构（分所）投标的，只查询该分支机构。</w:t>
            </w:r>
          </w:p>
        </w:tc>
      </w:tr>
      <w:tr w14:paraId="0CAE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trPr>
        <w:tc>
          <w:tcPr>
            <w:tcW w:w="2126" w:type="dxa"/>
            <w:noWrap w:val="0"/>
            <w:vAlign w:val="center"/>
          </w:tcPr>
          <w:p w14:paraId="33DB29E8">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综合信用评价得分 (5分)</w:t>
            </w:r>
          </w:p>
        </w:tc>
        <w:tc>
          <w:tcPr>
            <w:tcW w:w="6946" w:type="dxa"/>
            <w:noWrap w:val="0"/>
            <w:vAlign w:val="center"/>
          </w:tcPr>
          <w:p w14:paraId="0D976F1B">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综合信用评价得分=投标人的广州公共资源交易信用评价（政府采购供应</w:t>
            </w:r>
          </w:p>
          <w:p w14:paraId="3D5295E5">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商信用评价分）×5%。 投标人的信用评价分以开标当天广州交易集团有</w:t>
            </w:r>
          </w:p>
          <w:p w14:paraId="3B70FFC1">
            <w:pPr>
              <w:keepNext w:val="0"/>
              <w:keepLines w:val="0"/>
              <w:widowControl/>
              <w:suppressLineNumbers w:val="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限公司网站公布的分值为准（通过“广州交易集团有限公司网站-信用信息-广州公共资源交易信用平台2.0” 进行核实，未能在网站查询到供应商信用评价分的，以信用评价基准分（93.4分）计算）。</w:t>
            </w:r>
          </w:p>
        </w:tc>
      </w:tr>
      <w:tr w14:paraId="02E5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5" w:hRule="atLeast"/>
        </w:trPr>
        <w:tc>
          <w:tcPr>
            <w:tcW w:w="2126" w:type="dxa"/>
            <w:noWrap w:val="0"/>
            <w:vAlign w:val="center"/>
          </w:tcPr>
          <w:p w14:paraId="0DC890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售后</w:t>
            </w:r>
            <w:r>
              <w:rPr>
                <w:rFonts w:hint="eastAsia" w:cs="宋体"/>
                <w:i w:val="0"/>
                <w:iCs w:val="0"/>
                <w:color w:val="000000"/>
                <w:kern w:val="0"/>
                <w:sz w:val="20"/>
                <w:szCs w:val="20"/>
                <w:u w:val="none"/>
                <w:lang w:val="en-US" w:eastAsia="zh-Hans" w:bidi="ar"/>
              </w:rPr>
              <w:t>服</w:t>
            </w:r>
            <w:r>
              <w:rPr>
                <w:rFonts w:hint="eastAsia" w:ascii="宋体" w:hAnsi="宋体" w:eastAsia="宋体" w:cs="宋体"/>
                <w:i w:val="0"/>
                <w:iCs w:val="0"/>
                <w:color w:val="000000"/>
                <w:kern w:val="0"/>
                <w:sz w:val="20"/>
                <w:szCs w:val="20"/>
                <w:u w:val="none"/>
                <w:lang w:val="en-US" w:eastAsia="zh-CN" w:bidi="ar"/>
              </w:rPr>
              <w:t>务</w:t>
            </w:r>
            <w:r>
              <w:rPr>
                <w:rFonts w:hint="eastAsia" w:cs="宋体"/>
                <w:i w:val="0"/>
                <w:iCs w:val="0"/>
                <w:color w:val="000000"/>
                <w:kern w:val="0"/>
                <w:sz w:val="20"/>
                <w:szCs w:val="20"/>
                <w:u w:val="none"/>
                <w:lang w:val="en-US" w:eastAsia="zh-CN" w:bidi="ar"/>
              </w:rPr>
              <w:t>方案</w:t>
            </w:r>
          </w:p>
          <w:p w14:paraId="5658F8D7">
            <w:pPr>
              <w:jc w:val="center"/>
            </w:pPr>
            <w:r>
              <w:rPr>
                <w:rFonts w:hint="eastAsia" w:ascii="宋体" w:hAnsi="宋体" w:eastAsia="宋体" w:cs="宋体"/>
                <w:i w:val="0"/>
                <w:iCs w:val="0"/>
                <w:color w:val="000000"/>
                <w:kern w:val="0"/>
                <w:sz w:val="20"/>
                <w:szCs w:val="20"/>
                <w:u w:val="none"/>
                <w:lang w:val="en-US" w:eastAsia="zh-CN" w:bidi="ar"/>
              </w:rPr>
              <w:t>(</w:t>
            </w:r>
            <w:r>
              <w:rPr>
                <w:rFonts w:hint="eastAsia" w:cs="宋体"/>
                <w:i w:val="0"/>
                <w:iCs w:val="0"/>
                <w:color w:val="000000"/>
                <w:kern w:val="0"/>
                <w:sz w:val="20"/>
                <w:szCs w:val="20"/>
                <w:u w:val="none"/>
                <w:lang w:val="en-US" w:eastAsia="zh-CN" w:bidi="ar"/>
              </w:rPr>
              <w:t>7</w:t>
            </w:r>
            <w:r>
              <w:rPr>
                <w:rFonts w:hint="eastAsia" w:cs="宋体"/>
                <w:i w:val="0"/>
                <w:iCs w:val="0"/>
                <w:color w:val="000000"/>
                <w:kern w:val="0"/>
                <w:sz w:val="20"/>
                <w:szCs w:val="20"/>
                <w:u w:val="none"/>
                <w:lang w:val="en-US" w:eastAsia="zh-Hans" w:bidi="ar"/>
              </w:rPr>
              <w:t>分</w:t>
            </w:r>
            <w:r>
              <w:rPr>
                <w:rFonts w:hint="eastAsia" w:ascii="宋体" w:hAnsi="宋体" w:eastAsia="宋体" w:cs="宋体"/>
                <w:i w:val="0"/>
                <w:iCs w:val="0"/>
                <w:color w:val="000000"/>
                <w:kern w:val="0"/>
                <w:sz w:val="20"/>
                <w:szCs w:val="20"/>
                <w:u w:val="none"/>
                <w:lang w:val="en-US" w:eastAsia="zh-CN" w:bidi="ar"/>
              </w:rPr>
              <w:t>)</w:t>
            </w:r>
          </w:p>
        </w:tc>
        <w:tc>
          <w:tcPr>
            <w:tcW w:w="6946" w:type="dxa"/>
            <w:noWrap w:val="0"/>
            <w:vAlign w:val="center"/>
          </w:tcPr>
          <w:p w14:paraId="39E13737">
            <w:pPr>
              <w:topLinePunct/>
              <w:snapToGrid w:val="0"/>
              <w:spacing w:line="340" w:lineRule="exact"/>
              <w:jc w:val="both"/>
              <w:rPr>
                <w:rFonts w:ascii="宋体" w:hAnsi="宋体" w:eastAsia="宋体" w:cs="宋体"/>
                <w:szCs w:val="21"/>
              </w:rPr>
            </w:pPr>
            <w:r>
              <w:rPr>
                <w:rFonts w:hint="eastAsia" w:ascii="宋体" w:hAnsi="宋体" w:eastAsia="宋体" w:cs="宋体"/>
                <w:szCs w:val="21"/>
                <w:lang w:val="en-US" w:eastAsia="zh-Hans"/>
              </w:rPr>
              <w:t>承诺交付完整代码</w:t>
            </w:r>
            <w:r>
              <w:rPr>
                <w:rFonts w:hint="default" w:ascii="宋体" w:hAnsi="宋体" w:eastAsia="宋体" w:cs="宋体"/>
                <w:szCs w:val="21"/>
                <w:lang w:eastAsia="zh-Hans"/>
              </w:rPr>
              <w:t>，</w:t>
            </w:r>
            <w:r>
              <w:rPr>
                <w:rFonts w:hint="eastAsia" w:ascii="宋体" w:hAnsi="宋体" w:eastAsia="宋体" w:cs="宋体"/>
                <w:szCs w:val="21"/>
              </w:rPr>
              <w:t>供应商提供的售后服务措施完整、高效，得</w:t>
            </w:r>
            <w:r>
              <w:rPr>
                <w:rFonts w:hint="eastAsia" w:cs="宋体"/>
                <w:szCs w:val="21"/>
                <w:lang w:val="en-US" w:eastAsia="zh-CN"/>
              </w:rPr>
              <w:t>7</w:t>
            </w:r>
            <w:r>
              <w:rPr>
                <w:rFonts w:hint="eastAsia" w:ascii="宋体" w:hAnsi="宋体" w:eastAsia="宋体" w:cs="宋体"/>
                <w:szCs w:val="21"/>
              </w:rPr>
              <w:t>分；</w:t>
            </w:r>
          </w:p>
          <w:p w14:paraId="33BBAB55">
            <w:pPr>
              <w:topLinePunct/>
              <w:snapToGrid w:val="0"/>
              <w:spacing w:line="340" w:lineRule="exact"/>
              <w:jc w:val="both"/>
              <w:rPr>
                <w:rFonts w:ascii="宋体" w:hAnsi="宋体" w:eastAsia="宋体" w:cs="宋体"/>
                <w:szCs w:val="21"/>
              </w:rPr>
            </w:pPr>
            <w:r>
              <w:rPr>
                <w:rFonts w:hint="eastAsia" w:ascii="宋体" w:hAnsi="宋体" w:eastAsia="宋体" w:cs="宋体"/>
                <w:szCs w:val="21"/>
                <w:lang w:val="en-US" w:eastAsia="zh-Hans"/>
              </w:rPr>
              <w:t>承诺交付完整代码</w:t>
            </w:r>
            <w:r>
              <w:rPr>
                <w:rFonts w:hint="default" w:ascii="宋体" w:hAnsi="宋体" w:eastAsia="宋体" w:cs="宋体"/>
                <w:szCs w:val="21"/>
                <w:lang w:eastAsia="zh-Hans"/>
              </w:rPr>
              <w:t>，</w:t>
            </w:r>
            <w:r>
              <w:rPr>
                <w:rFonts w:hint="eastAsia" w:ascii="宋体" w:hAnsi="宋体" w:eastAsia="宋体" w:cs="宋体"/>
                <w:szCs w:val="21"/>
              </w:rPr>
              <w:t>供应商提供的售后服务措施完整</w:t>
            </w:r>
            <w:r>
              <w:rPr>
                <w:rFonts w:hint="eastAsia" w:cs="宋体"/>
                <w:szCs w:val="21"/>
                <w:lang w:val="en-US" w:eastAsia="zh-CN"/>
              </w:rPr>
              <w:t>但效率稍差</w:t>
            </w:r>
            <w:r>
              <w:rPr>
                <w:rFonts w:hint="eastAsia" w:ascii="宋体" w:hAnsi="宋体" w:eastAsia="宋体" w:cs="宋体"/>
                <w:szCs w:val="21"/>
              </w:rPr>
              <w:t>，得</w:t>
            </w:r>
            <w:r>
              <w:rPr>
                <w:rFonts w:hint="eastAsia" w:cs="宋体"/>
                <w:szCs w:val="21"/>
                <w:lang w:val="en-US" w:eastAsia="zh-CN"/>
              </w:rPr>
              <w:t>4</w:t>
            </w:r>
            <w:r>
              <w:rPr>
                <w:rFonts w:hint="eastAsia" w:ascii="宋体" w:hAnsi="宋体" w:eastAsia="宋体" w:cs="宋体"/>
                <w:szCs w:val="21"/>
              </w:rPr>
              <w:t>分；</w:t>
            </w:r>
          </w:p>
          <w:p w14:paraId="3388679D">
            <w:pPr>
              <w:topLinePunct/>
              <w:snapToGrid w:val="0"/>
              <w:spacing w:line="340" w:lineRule="exact"/>
              <w:jc w:val="both"/>
              <w:rPr>
                <w:rFonts w:ascii="宋体" w:hAnsi="宋体" w:eastAsia="宋体" w:cs="宋体"/>
                <w:szCs w:val="21"/>
              </w:rPr>
            </w:pPr>
            <w:r>
              <w:rPr>
                <w:rFonts w:hint="eastAsia" w:ascii="宋体" w:hAnsi="宋体" w:eastAsia="宋体" w:cs="宋体"/>
                <w:szCs w:val="21"/>
                <w:lang w:val="en-US" w:eastAsia="zh-Hans"/>
              </w:rPr>
              <w:t>承诺交付完整代码</w:t>
            </w:r>
            <w:r>
              <w:rPr>
                <w:rFonts w:hint="default" w:ascii="宋体" w:hAnsi="宋体" w:eastAsia="宋体" w:cs="宋体"/>
                <w:szCs w:val="21"/>
                <w:lang w:eastAsia="zh-Hans"/>
              </w:rPr>
              <w:t>，</w:t>
            </w:r>
            <w:r>
              <w:rPr>
                <w:rFonts w:hint="eastAsia" w:ascii="宋体" w:hAnsi="宋体" w:eastAsia="宋体" w:cs="宋体"/>
                <w:szCs w:val="21"/>
              </w:rPr>
              <w:t>供应商提供的售后服务措施有缺漏，</w:t>
            </w:r>
            <w:r>
              <w:rPr>
                <w:rFonts w:hint="eastAsia" w:cs="宋体"/>
                <w:szCs w:val="21"/>
                <w:lang w:val="en-US" w:eastAsia="zh-CN"/>
              </w:rPr>
              <w:t>不完整</w:t>
            </w:r>
            <w:r>
              <w:rPr>
                <w:rFonts w:hint="eastAsia" w:ascii="宋体" w:hAnsi="宋体" w:eastAsia="宋体" w:cs="宋体"/>
                <w:szCs w:val="21"/>
              </w:rPr>
              <w:t>得</w:t>
            </w:r>
            <w:r>
              <w:rPr>
                <w:rFonts w:hint="eastAsia" w:cs="宋体"/>
                <w:szCs w:val="21"/>
                <w:lang w:val="en-US" w:eastAsia="zh-CN"/>
              </w:rPr>
              <w:t>1</w:t>
            </w:r>
            <w:r>
              <w:rPr>
                <w:rFonts w:hint="eastAsia" w:ascii="宋体" w:hAnsi="宋体" w:eastAsia="宋体" w:cs="宋体"/>
                <w:szCs w:val="21"/>
              </w:rPr>
              <w:t>分；</w:t>
            </w:r>
          </w:p>
          <w:p w14:paraId="18CBBD2C">
            <w:pPr>
              <w:jc w:val="both"/>
              <w:rPr>
                <w:rFonts w:hint="eastAsia"/>
              </w:rPr>
            </w:pPr>
            <w:r>
              <w:rPr>
                <w:rFonts w:hint="eastAsia" w:ascii="宋体" w:hAnsi="宋体" w:eastAsia="宋体" w:cs="宋体"/>
                <w:szCs w:val="21"/>
              </w:rPr>
              <w:t>未提供或其他情况得0分。</w:t>
            </w:r>
          </w:p>
        </w:tc>
      </w:tr>
      <w:tr w14:paraId="4BA8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5" w:hRule="atLeast"/>
        </w:trPr>
        <w:tc>
          <w:tcPr>
            <w:tcW w:w="2126" w:type="dxa"/>
            <w:noWrap w:val="0"/>
            <w:vAlign w:val="center"/>
          </w:tcPr>
          <w:p w14:paraId="36A67F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技术支持</w:t>
            </w:r>
            <w:r>
              <w:rPr>
                <w:rFonts w:hint="eastAsia" w:cs="宋体"/>
                <w:i w:val="0"/>
                <w:iCs w:val="0"/>
                <w:color w:val="000000"/>
                <w:kern w:val="0"/>
                <w:sz w:val="20"/>
                <w:szCs w:val="20"/>
                <w:u w:val="none"/>
                <w:lang w:val="en-US" w:eastAsia="zh-Hans" w:bidi="ar"/>
              </w:rPr>
              <w:t>服</w:t>
            </w:r>
            <w:r>
              <w:rPr>
                <w:rFonts w:hint="eastAsia" w:ascii="宋体" w:hAnsi="宋体" w:eastAsia="宋体" w:cs="宋体"/>
                <w:i w:val="0"/>
                <w:iCs w:val="0"/>
                <w:color w:val="000000"/>
                <w:kern w:val="0"/>
                <w:sz w:val="20"/>
                <w:szCs w:val="20"/>
                <w:u w:val="none"/>
                <w:lang w:val="en-US" w:eastAsia="zh-CN" w:bidi="ar"/>
              </w:rPr>
              <w:t>务</w:t>
            </w:r>
            <w:r>
              <w:rPr>
                <w:rFonts w:hint="eastAsia" w:cs="宋体"/>
                <w:i w:val="0"/>
                <w:iCs w:val="0"/>
                <w:color w:val="000000"/>
                <w:kern w:val="0"/>
                <w:sz w:val="20"/>
                <w:szCs w:val="20"/>
                <w:u w:val="none"/>
                <w:lang w:val="en-US" w:eastAsia="zh-CN" w:bidi="ar"/>
              </w:rPr>
              <w:t>方案</w:t>
            </w:r>
          </w:p>
          <w:p w14:paraId="4B4400BF">
            <w:pPr>
              <w:jc w:val="center"/>
              <w:rPr>
                <w:rFonts w:hint="eastAsia" w:ascii="宋体" w:hAnsi="宋体" w:eastAsia="宋体" w:cs="宋体"/>
                <w:sz w:val="22"/>
                <w:szCs w:val="22"/>
                <w:lang w:val="en-US" w:eastAsia="zh-CN" w:bidi="zh-CN"/>
              </w:rPr>
            </w:pPr>
            <w:r>
              <w:rPr>
                <w:rFonts w:hint="eastAsia" w:ascii="宋体" w:hAnsi="宋体" w:eastAsia="宋体" w:cs="宋体"/>
                <w:i w:val="0"/>
                <w:iCs w:val="0"/>
                <w:color w:val="000000"/>
                <w:kern w:val="0"/>
                <w:sz w:val="20"/>
                <w:szCs w:val="20"/>
                <w:u w:val="none"/>
                <w:lang w:val="en-US" w:eastAsia="zh-CN" w:bidi="ar"/>
              </w:rPr>
              <w:t>(</w:t>
            </w:r>
            <w:r>
              <w:rPr>
                <w:rFonts w:hint="eastAsia" w:cs="宋体"/>
                <w:i w:val="0"/>
                <w:iCs w:val="0"/>
                <w:color w:val="000000"/>
                <w:kern w:val="0"/>
                <w:sz w:val="20"/>
                <w:szCs w:val="20"/>
                <w:u w:val="none"/>
                <w:lang w:val="en-US" w:eastAsia="zh-CN" w:bidi="ar"/>
              </w:rPr>
              <w:t>6</w:t>
            </w:r>
            <w:r>
              <w:rPr>
                <w:rFonts w:hint="eastAsia" w:cs="宋体"/>
                <w:i w:val="0"/>
                <w:iCs w:val="0"/>
                <w:color w:val="000000"/>
                <w:kern w:val="0"/>
                <w:sz w:val="20"/>
                <w:szCs w:val="20"/>
                <w:u w:val="none"/>
                <w:lang w:val="en-US" w:eastAsia="zh-Hans" w:bidi="ar"/>
              </w:rPr>
              <w:t>分</w:t>
            </w:r>
            <w:r>
              <w:rPr>
                <w:rFonts w:hint="eastAsia" w:ascii="宋体" w:hAnsi="宋体" w:eastAsia="宋体" w:cs="宋体"/>
                <w:i w:val="0"/>
                <w:iCs w:val="0"/>
                <w:color w:val="000000"/>
                <w:kern w:val="0"/>
                <w:sz w:val="20"/>
                <w:szCs w:val="20"/>
                <w:u w:val="none"/>
                <w:lang w:val="en-US" w:eastAsia="zh-CN" w:bidi="ar"/>
              </w:rPr>
              <w:t>)</w:t>
            </w:r>
          </w:p>
        </w:tc>
        <w:tc>
          <w:tcPr>
            <w:tcW w:w="6946" w:type="dxa"/>
            <w:noWrap w:val="0"/>
            <w:vAlign w:val="center"/>
          </w:tcPr>
          <w:p w14:paraId="2C723387">
            <w:pPr>
              <w:topLinePunct/>
              <w:snapToGrid w:val="0"/>
              <w:spacing w:line="340" w:lineRule="exact"/>
              <w:jc w:val="both"/>
              <w:rPr>
                <w:rFonts w:ascii="宋体" w:hAnsi="宋体" w:eastAsia="宋体" w:cs="宋体"/>
                <w:szCs w:val="21"/>
              </w:rPr>
            </w:pPr>
            <w:r>
              <w:rPr>
                <w:rFonts w:hint="eastAsia" w:ascii="宋体" w:hAnsi="宋体" w:eastAsia="宋体" w:cs="宋体"/>
                <w:szCs w:val="21"/>
              </w:rPr>
              <w:t>故障响应时间迅速、技术支持强，系统维护服务具有针对性，得</w:t>
            </w:r>
            <w:r>
              <w:rPr>
                <w:rFonts w:hint="eastAsia" w:cs="宋体"/>
                <w:szCs w:val="21"/>
                <w:lang w:val="en-US" w:eastAsia="zh-CN"/>
              </w:rPr>
              <w:t>6</w:t>
            </w:r>
            <w:r>
              <w:rPr>
                <w:rFonts w:hint="eastAsia" w:ascii="宋体" w:hAnsi="宋体" w:eastAsia="宋体" w:cs="宋体"/>
                <w:szCs w:val="21"/>
              </w:rPr>
              <w:t>分；</w:t>
            </w:r>
          </w:p>
          <w:p w14:paraId="67552688">
            <w:pPr>
              <w:topLinePunct/>
              <w:snapToGrid w:val="0"/>
              <w:spacing w:line="340" w:lineRule="exact"/>
              <w:jc w:val="both"/>
              <w:rPr>
                <w:rFonts w:ascii="宋体" w:hAnsi="宋体" w:eastAsia="宋体" w:cs="宋体"/>
                <w:szCs w:val="21"/>
              </w:rPr>
            </w:pPr>
            <w:r>
              <w:rPr>
                <w:rFonts w:hint="eastAsia" w:ascii="宋体" w:hAnsi="宋体" w:eastAsia="宋体" w:cs="宋体"/>
                <w:szCs w:val="21"/>
              </w:rPr>
              <w:t>故障响应时间较快、有技术支持，有系统维护服务，得</w:t>
            </w:r>
            <w:r>
              <w:rPr>
                <w:rFonts w:hint="eastAsia" w:cs="宋体"/>
                <w:szCs w:val="21"/>
                <w:lang w:val="en-US" w:eastAsia="zh-CN"/>
              </w:rPr>
              <w:t>3</w:t>
            </w:r>
            <w:r>
              <w:rPr>
                <w:rFonts w:hint="eastAsia" w:ascii="宋体" w:hAnsi="宋体" w:eastAsia="宋体" w:cs="宋体"/>
                <w:szCs w:val="21"/>
              </w:rPr>
              <w:t>分；</w:t>
            </w:r>
          </w:p>
          <w:p w14:paraId="3377902A">
            <w:pPr>
              <w:topLinePunct/>
              <w:snapToGrid w:val="0"/>
              <w:spacing w:line="340" w:lineRule="exact"/>
              <w:jc w:val="both"/>
              <w:rPr>
                <w:rFonts w:ascii="宋体" w:hAnsi="宋体" w:eastAsia="宋体" w:cs="宋体"/>
                <w:szCs w:val="21"/>
              </w:rPr>
            </w:pPr>
            <w:r>
              <w:rPr>
                <w:rFonts w:hint="eastAsia" w:ascii="宋体" w:hAnsi="宋体" w:eastAsia="宋体" w:cs="宋体"/>
                <w:szCs w:val="21"/>
              </w:rPr>
              <w:t>故障响应时间较慢、技术支持落后，系统维护服务较差，得</w:t>
            </w:r>
            <w:r>
              <w:rPr>
                <w:rFonts w:hint="eastAsia" w:cs="宋体"/>
                <w:szCs w:val="21"/>
                <w:lang w:val="en-US" w:eastAsia="zh-CN"/>
              </w:rPr>
              <w:t>1</w:t>
            </w:r>
            <w:r>
              <w:rPr>
                <w:rFonts w:hint="eastAsia" w:ascii="宋体" w:hAnsi="宋体" w:eastAsia="宋体" w:cs="宋体"/>
                <w:szCs w:val="21"/>
              </w:rPr>
              <w:t>分；</w:t>
            </w:r>
          </w:p>
          <w:p w14:paraId="0A29E39D">
            <w:pPr>
              <w:jc w:val="both"/>
              <w:rPr>
                <w:rFonts w:hint="eastAsia" w:ascii="宋体" w:hAnsi="宋体" w:eastAsia="宋体" w:cs="宋体"/>
                <w:sz w:val="22"/>
                <w:szCs w:val="22"/>
                <w:lang w:val="zh-CN" w:eastAsia="zh-CN" w:bidi="zh-CN"/>
              </w:rPr>
            </w:pPr>
            <w:r>
              <w:rPr>
                <w:rFonts w:hint="eastAsia" w:ascii="宋体" w:hAnsi="宋体" w:eastAsia="宋体" w:cs="宋体"/>
                <w:szCs w:val="21"/>
              </w:rPr>
              <w:t>未提供或其他情况得0分。</w:t>
            </w:r>
          </w:p>
        </w:tc>
      </w:tr>
    </w:tbl>
    <w:p w14:paraId="0D7B2F4B">
      <w:pPr>
        <w:spacing w:before="68"/>
        <w:ind w:right="899"/>
        <w:jc w:val="both"/>
        <w:rPr>
          <w:rFonts w:hint="eastAsia" w:ascii="黑体" w:eastAsia="黑体"/>
          <w:sz w:val="28"/>
          <w:lang w:val="en-US" w:eastAsia="zh-CN"/>
        </w:rPr>
      </w:pPr>
    </w:p>
    <w:p w14:paraId="63251969">
      <w:pPr>
        <w:spacing w:before="68"/>
        <w:ind w:right="899"/>
        <w:jc w:val="center"/>
        <w:rPr>
          <w:b/>
          <w:sz w:val="28"/>
        </w:rPr>
      </w:pPr>
      <w:r>
        <w:rPr>
          <w:rFonts w:hint="eastAsia" w:ascii="黑体" w:eastAsia="黑体"/>
          <w:sz w:val="28"/>
        </w:rPr>
        <w:t>价 格 评 分 表</w:t>
      </w:r>
      <w:r>
        <w:rPr>
          <w:b/>
          <w:sz w:val="28"/>
        </w:rPr>
        <w:t>（</w:t>
      </w:r>
      <w:r>
        <w:rPr>
          <w:rFonts w:hint="default"/>
          <w:b/>
          <w:sz w:val="28"/>
        </w:rPr>
        <w:t>10</w:t>
      </w:r>
      <w:r>
        <w:rPr>
          <w:b/>
          <w:sz w:val="28"/>
        </w:rPr>
        <w:t>分）</w:t>
      </w:r>
    </w:p>
    <w:p w14:paraId="27CC6CC9">
      <w:pPr>
        <w:pStyle w:val="14"/>
        <w:numPr>
          <w:ilvl w:val="0"/>
          <w:numId w:val="16"/>
        </w:numPr>
        <w:tabs>
          <w:tab w:val="left" w:pos="823"/>
          <w:tab w:val="left" w:pos="824"/>
        </w:tabs>
        <w:spacing w:before="151" w:line="364" w:lineRule="auto"/>
        <w:ind w:right="393"/>
        <w:jc w:val="left"/>
        <w:rPr>
          <w:spacing w:val="-3"/>
          <w:sz w:val="21"/>
        </w:rPr>
      </w:pPr>
      <w:r>
        <w:rPr>
          <w:spacing w:val="-3"/>
          <w:sz w:val="21"/>
        </w:rPr>
        <w:t>价格核准：评标委员会详细分析、核准价格表，检查其是否存在计算上或累加上的算术错误， 修正错误的原则如下：</w:t>
      </w:r>
    </w:p>
    <w:p w14:paraId="6D6B6121">
      <w:pPr>
        <w:pStyle w:val="14"/>
        <w:numPr>
          <w:ilvl w:val="1"/>
          <w:numId w:val="16"/>
        </w:numPr>
        <w:tabs>
          <w:tab w:val="left" w:pos="1353"/>
        </w:tabs>
        <w:spacing w:line="367" w:lineRule="auto"/>
        <w:ind w:right="398" w:firstLine="0"/>
        <w:rPr>
          <w:spacing w:val="-3"/>
          <w:sz w:val="21"/>
        </w:rPr>
      </w:pPr>
      <w:r>
        <w:rPr>
          <w:spacing w:val="-3"/>
          <w:sz w:val="21"/>
        </w:rPr>
        <w:t>投标文件中开标一览表(报价表)内容与投标文件中明细表内容不一致的，以开标一览表(报价表)为准；</w:t>
      </w:r>
    </w:p>
    <w:p w14:paraId="31AA31D8">
      <w:pPr>
        <w:pStyle w:val="14"/>
        <w:numPr>
          <w:ilvl w:val="1"/>
          <w:numId w:val="16"/>
        </w:numPr>
        <w:tabs>
          <w:tab w:val="left" w:pos="1353"/>
        </w:tabs>
        <w:spacing w:line="367" w:lineRule="auto"/>
        <w:ind w:right="398" w:firstLine="0"/>
        <w:rPr>
          <w:spacing w:val="-3"/>
          <w:sz w:val="21"/>
        </w:rPr>
      </w:pPr>
      <w:r>
        <w:rPr>
          <w:spacing w:val="-3"/>
          <w:sz w:val="21"/>
        </w:rPr>
        <w:t>投标文件中的大写金额和小写金额不一致的，以大写金额为准；</w:t>
      </w:r>
    </w:p>
    <w:p w14:paraId="2FCCF353">
      <w:pPr>
        <w:pStyle w:val="14"/>
        <w:numPr>
          <w:ilvl w:val="1"/>
          <w:numId w:val="16"/>
        </w:numPr>
        <w:tabs>
          <w:tab w:val="left" w:pos="1353"/>
        </w:tabs>
        <w:spacing w:line="367" w:lineRule="auto"/>
        <w:ind w:right="398" w:firstLine="0"/>
        <w:rPr>
          <w:spacing w:val="-3"/>
          <w:sz w:val="21"/>
        </w:rPr>
      </w:pPr>
      <w:r>
        <w:rPr>
          <w:spacing w:val="-3"/>
          <w:sz w:val="21"/>
        </w:rPr>
        <w:t>单价金额小数点或者百分比有明显错位的，以开标一览表的总价为准，并修改单价；</w:t>
      </w:r>
    </w:p>
    <w:p w14:paraId="03BCFCE4">
      <w:pPr>
        <w:pStyle w:val="14"/>
        <w:numPr>
          <w:ilvl w:val="1"/>
          <w:numId w:val="16"/>
        </w:numPr>
        <w:tabs>
          <w:tab w:val="left" w:pos="1353"/>
        </w:tabs>
        <w:spacing w:line="367" w:lineRule="auto"/>
        <w:ind w:right="398" w:firstLine="0"/>
        <w:rPr>
          <w:spacing w:val="-3"/>
          <w:sz w:val="21"/>
        </w:rPr>
      </w:pPr>
      <w:r>
        <w:rPr>
          <w:spacing w:val="-3"/>
          <w:sz w:val="21"/>
        </w:rPr>
        <w:t>总价金额与按单价汇总金额不一致的，以单价金额计算结果为准。</w:t>
      </w:r>
    </w:p>
    <w:p w14:paraId="0CDE7F80">
      <w:pPr>
        <w:pStyle w:val="5"/>
        <w:spacing w:before="141" w:line="364" w:lineRule="auto"/>
        <w:ind w:left="823" w:right="393"/>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同时出现两种以上不一致的，按照前款规定的顺序修正。修正后的报价经投标人确认后产生约束力，投标人不确认的，其投标无效。</w:t>
      </w:r>
    </w:p>
    <w:p w14:paraId="0ABF336A">
      <w:pPr>
        <w:pStyle w:val="14"/>
        <w:numPr>
          <w:ilvl w:val="0"/>
          <w:numId w:val="16"/>
        </w:numPr>
        <w:tabs>
          <w:tab w:val="left" w:pos="823"/>
          <w:tab w:val="left" w:pos="824"/>
        </w:tabs>
        <w:spacing w:line="268" w:lineRule="exact"/>
        <w:ind w:hanging="426"/>
        <w:rPr>
          <w:b/>
          <w:bCs/>
          <w:spacing w:val="-3"/>
          <w:sz w:val="21"/>
        </w:rPr>
      </w:pPr>
      <w:r>
        <w:rPr>
          <w:b/>
          <w:bCs/>
          <w:spacing w:val="-3"/>
          <w:sz w:val="21"/>
        </w:rPr>
        <w:t>小型和微型企业价格扣除</w:t>
      </w:r>
    </w:p>
    <w:p w14:paraId="3C6D46A7">
      <w:pPr>
        <w:pStyle w:val="14"/>
        <w:numPr>
          <w:ilvl w:val="1"/>
          <w:numId w:val="17"/>
        </w:numPr>
        <w:tabs>
          <w:tab w:val="left" w:pos="966"/>
        </w:tabs>
        <w:spacing w:before="139"/>
        <w:ind w:hanging="426"/>
        <w:rPr>
          <w:sz w:val="21"/>
        </w:rPr>
      </w:pPr>
      <w:r>
        <w:rPr>
          <w:rFonts w:ascii="宋体" w:hAnsi="宋体" w:eastAsia="宋体" w:cs="宋体"/>
          <w:spacing w:val="-3"/>
          <w:sz w:val="21"/>
          <w:szCs w:val="22"/>
          <w:lang w:val="zh-CN" w:eastAsia="zh-CN" w:bidi="zh-CN"/>
        </w:rPr>
        <w:t>根据财政部、工业和信息化部印发的《政府采购促进中小企业发展管理办法》(财库〔2020〕</w:t>
      </w:r>
    </w:p>
    <w:p w14:paraId="5A63DCDF">
      <w:pPr>
        <w:pStyle w:val="5"/>
        <w:spacing w:before="141" w:line="364" w:lineRule="auto"/>
        <w:ind w:left="823" w:right="393"/>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46 号)的规定，对符合该办法的小微企业报价给予 6%的扣除，用扣除后的价格参加评审； 以联合体形式投标的，联合体各方均为小微企业的，联合体视同为小微型企业。</w:t>
      </w:r>
    </w:p>
    <w:p w14:paraId="76954961">
      <w:pPr>
        <w:pStyle w:val="14"/>
        <w:numPr>
          <w:ilvl w:val="1"/>
          <w:numId w:val="17"/>
        </w:numPr>
        <w:tabs>
          <w:tab w:val="left" w:pos="966"/>
        </w:tabs>
        <w:spacing w:line="364" w:lineRule="auto"/>
        <w:ind w:left="1106" w:right="396" w:hanging="567"/>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政府采购促进中小企业发展管理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AF02EC3">
      <w:pPr>
        <w:pStyle w:val="14"/>
        <w:numPr>
          <w:ilvl w:val="1"/>
          <w:numId w:val="17"/>
        </w:numPr>
        <w:tabs>
          <w:tab w:val="left" w:pos="966"/>
        </w:tabs>
        <w:spacing w:line="364" w:lineRule="auto"/>
        <w:ind w:left="1106" w:right="396" w:hanging="567"/>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在政府采购活动中，供应商提供的货物、工程或者服务符合下列情形的，享受本办法规定的中小企业扶持政策：</w:t>
      </w:r>
    </w:p>
    <w:p w14:paraId="34EBC6AB">
      <w:pPr>
        <w:pStyle w:val="5"/>
        <w:spacing w:line="364" w:lineRule="auto"/>
        <w:ind w:left="965" w:right="386"/>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（一）在货物采购项目中，货物由中小企业制造，即货物由中小企业生产且使用该中小企业商号或者注册商标；</w:t>
      </w:r>
    </w:p>
    <w:p w14:paraId="6879F443">
      <w:pPr>
        <w:pStyle w:val="5"/>
        <w:ind w:left="965"/>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（二）在工程采购项目中，工程由中小企业承建，即工程施工单位为中小企业；</w:t>
      </w:r>
    </w:p>
    <w:p w14:paraId="4093E054">
      <w:pPr>
        <w:pStyle w:val="5"/>
        <w:spacing w:before="131" w:line="364" w:lineRule="auto"/>
        <w:ind w:left="965" w:right="385"/>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（三）在服务采购项目中，服务由中小企业承接，即提供服务的人员为中小企业依照《中华人民共和国劳动合同法》订立劳动合同的从业人员。</w:t>
      </w:r>
    </w:p>
    <w:p w14:paraId="27BF0C71">
      <w:pPr>
        <w:pStyle w:val="14"/>
        <w:numPr>
          <w:ilvl w:val="1"/>
          <w:numId w:val="17"/>
        </w:numPr>
        <w:tabs>
          <w:tab w:val="left" w:pos="1107"/>
        </w:tabs>
        <w:spacing w:line="364" w:lineRule="auto"/>
        <w:ind w:left="1106" w:right="397" w:hanging="567"/>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参加政府采购活动的中小企业应当提供《中小企业声明函》（格式见第六章投标文件格式）。</w:t>
      </w:r>
    </w:p>
    <w:p w14:paraId="0A60FEBB">
      <w:pPr>
        <w:pStyle w:val="14"/>
        <w:numPr>
          <w:ilvl w:val="0"/>
          <w:numId w:val="16"/>
        </w:numPr>
        <w:tabs>
          <w:tab w:val="left" w:pos="823"/>
          <w:tab w:val="left" w:pos="824"/>
        </w:tabs>
        <w:spacing w:line="268" w:lineRule="exact"/>
        <w:ind w:hanging="426"/>
        <w:rPr>
          <w:b/>
          <w:bCs/>
          <w:spacing w:val="-3"/>
          <w:sz w:val="21"/>
        </w:rPr>
      </w:pPr>
      <w:r>
        <w:rPr>
          <w:b/>
          <w:bCs/>
          <w:spacing w:val="-3"/>
          <w:sz w:val="21"/>
        </w:rPr>
        <w:t>监狱企业价格扣除</w:t>
      </w:r>
    </w:p>
    <w:p w14:paraId="62DB0EA8">
      <w:pPr>
        <w:pStyle w:val="14"/>
        <w:numPr>
          <w:ilvl w:val="1"/>
          <w:numId w:val="18"/>
        </w:numPr>
        <w:tabs>
          <w:tab w:val="left" w:pos="1107"/>
        </w:tabs>
        <w:spacing w:before="138" w:line="364" w:lineRule="auto"/>
        <w:ind w:right="290"/>
        <w:rPr>
          <w:rFonts w:ascii="宋体" w:hAnsi="宋体" w:eastAsia="宋体" w:cs="宋体"/>
          <w:spacing w:val="-3"/>
          <w:sz w:val="21"/>
          <w:szCs w:val="22"/>
          <w:lang w:val="zh-CN" w:eastAsia="zh-CN" w:bidi="zh-CN"/>
        </w:rPr>
      </w:pPr>
      <w:r>
        <w:rPr>
          <w:sz w:val="21"/>
        </w:rPr>
        <w:t>根据</w:t>
      </w:r>
      <w:r>
        <w:rPr>
          <w:rFonts w:ascii="宋体" w:hAnsi="宋体" w:eastAsia="宋体" w:cs="宋体"/>
          <w:spacing w:val="-3"/>
          <w:sz w:val="21"/>
          <w:szCs w:val="22"/>
          <w:lang w:val="zh-CN" w:eastAsia="zh-CN" w:bidi="zh-CN"/>
        </w:rPr>
        <w:t>《财政部 司法部关于政府采购支持监狱企业发展有关问题的通知》 (财库〔2014〕68 号)，监狱企业视同小微企业，按上述“小型和微型企业价格扣除”享受评审中价格扣除。</w:t>
      </w:r>
    </w:p>
    <w:p w14:paraId="68EC84AE">
      <w:pPr>
        <w:pStyle w:val="14"/>
        <w:numPr>
          <w:ilvl w:val="1"/>
          <w:numId w:val="18"/>
        </w:numPr>
        <w:tabs>
          <w:tab w:val="left" w:pos="1107"/>
        </w:tabs>
        <w:spacing w:line="364" w:lineRule="auto"/>
        <w:ind w:right="394"/>
        <w:jc w:val="both"/>
        <w:rPr>
          <w:b/>
          <w:bCs/>
          <w:spacing w:val="-3"/>
          <w:sz w:val="21"/>
        </w:rPr>
      </w:pPr>
      <w:r>
        <w:rPr>
          <w:spacing w:val="-1"/>
          <w:sz w:val="21"/>
        </w:rPr>
        <w:t>监</w:t>
      </w:r>
      <w:r>
        <w:rPr>
          <w:rFonts w:ascii="宋体" w:hAnsi="宋体" w:eastAsia="宋体" w:cs="宋体"/>
          <w:spacing w:val="-3"/>
          <w:sz w:val="21"/>
          <w:szCs w:val="22"/>
          <w:lang w:val="zh-CN" w:eastAsia="zh-CN" w:bidi="zh-CN"/>
        </w:rPr>
        <w:t>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w:t>
      </w:r>
      <w:r>
        <w:rPr>
          <w:rFonts w:hint="eastAsia" w:ascii="宋体" w:hAnsi="宋体" w:eastAsia="宋体" w:cs="宋体"/>
          <w:spacing w:val="-3"/>
          <w:sz w:val="21"/>
          <w:szCs w:val="22"/>
          <w:lang w:val="zh-CN" w:eastAsia="zh-CN" w:bidi="zh-CN"/>
        </w:rPr>
        <w:t>产建设兵团监狱管理局、戒毒管理局的企业。监狱企业投标时，提供由省级以上监狱管理局、戒毒管理局(含新疆生产建设兵团)出具的属于监狱企业的证明文件。</w:t>
      </w:r>
    </w:p>
    <w:p w14:paraId="5874460B">
      <w:pPr>
        <w:pStyle w:val="14"/>
        <w:numPr>
          <w:ilvl w:val="0"/>
          <w:numId w:val="16"/>
        </w:numPr>
        <w:tabs>
          <w:tab w:val="left" w:pos="823"/>
          <w:tab w:val="left" w:pos="824"/>
        </w:tabs>
        <w:spacing w:line="268" w:lineRule="exact"/>
        <w:ind w:hanging="426"/>
        <w:rPr>
          <w:b/>
          <w:bCs/>
          <w:spacing w:val="-3"/>
          <w:sz w:val="21"/>
        </w:rPr>
      </w:pPr>
      <w:r>
        <w:rPr>
          <w:b/>
          <w:bCs/>
          <w:spacing w:val="-3"/>
          <w:sz w:val="21"/>
        </w:rPr>
        <w:t>残疾人福利性单位价格扣除</w:t>
      </w:r>
    </w:p>
    <w:p w14:paraId="7AF446F0">
      <w:pPr>
        <w:pStyle w:val="14"/>
        <w:numPr>
          <w:ilvl w:val="1"/>
          <w:numId w:val="19"/>
        </w:numPr>
        <w:tabs>
          <w:tab w:val="left" w:pos="1107"/>
        </w:tabs>
        <w:spacing w:before="142" w:line="364" w:lineRule="auto"/>
        <w:ind w:right="396"/>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根据《财政部 民政部 中国残疾人联合会关于促进残疾人就业政府采购政策的通知》（财库〔2017〕141 号），残疾人福利性单位视同小型、微型企业，按上述“小型和微型企业价格扣除”享受评审中价格扣除。</w:t>
      </w:r>
    </w:p>
    <w:p w14:paraId="4DE2936E">
      <w:pPr>
        <w:pStyle w:val="14"/>
        <w:numPr>
          <w:ilvl w:val="1"/>
          <w:numId w:val="19"/>
        </w:numPr>
        <w:tabs>
          <w:tab w:val="left" w:pos="1107"/>
        </w:tabs>
        <w:spacing w:line="364" w:lineRule="auto"/>
        <w:ind w:right="397"/>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享受政府采购支持政策的残疾人福利性单位应符合《财政部 民政部 中国残疾人联合会关于促进残疾人就业政府采购政策的通知》的条件，投标时提供《残疾人福利性单位声明函》（格式见第六章投标文件格式）。</w:t>
      </w:r>
    </w:p>
    <w:p w14:paraId="52859920">
      <w:pPr>
        <w:pStyle w:val="14"/>
        <w:numPr>
          <w:ilvl w:val="0"/>
          <w:numId w:val="16"/>
        </w:numPr>
        <w:tabs>
          <w:tab w:val="left" w:pos="824"/>
        </w:tabs>
        <w:spacing w:line="364" w:lineRule="auto"/>
        <w:ind w:right="398"/>
        <w:jc w:val="both"/>
        <w:rPr>
          <w:b/>
          <w:bCs/>
          <w:sz w:val="21"/>
        </w:rPr>
      </w:pPr>
      <w:r>
        <w:rPr>
          <w:b/>
          <w:bCs/>
          <w:spacing w:val="-3"/>
          <w:sz w:val="21"/>
          <w:lang w:val="zh-CN" w:eastAsia="zh-CN"/>
        </w:rPr>
        <w:t>投标人同时为小型、微型企业、监狱企业和残疾人福利性单位的，评审中只享受一次价格扣除。</w:t>
      </w:r>
      <w:r>
        <w:rPr>
          <w:rFonts w:ascii="宋体" w:hAnsi="宋体" w:eastAsia="宋体" w:cs="宋体"/>
          <w:b/>
          <w:bCs/>
          <w:spacing w:val="-3"/>
          <w:sz w:val="21"/>
          <w:szCs w:val="22"/>
          <w:lang w:val="zh-CN" w:eastAsia="zh-CN" w:bidi="zh-CN"/>
        </w:rPr>
        <w:t>不重复进行价格扣除。</w:t>
      </w:r>
    </w:p>
    <w:p w14:paraId="0E508215">
      <w:pPr>
        <w:pStyle w:val="14"/>
        <w:numPr>
          <w:ilvl w:val="0"/>
          <w:numId w:val="16"/>
        </w:numPr>
        <w:tabs>
          <w:tab w:val="left" w:pos="824"/>
        </w:tabs>
        <w:spacing w:line="268" w:lineRule="exact"/>
        <w:ind w:hanging="426"/>
        <w:jc w:val="both"/>
        <w:rPr>
          <w:b/>
          <w:sz w:val="21"/>
        </w:rPr>
      </w:pPr>
      <w:r>
        <w:rPr>
          <w:b/>
          <w:spacing w:val="-2"/>
          <w:sz w:val="21"/>
        </w:rPr>
        <w:t>节能产品环境标志产品价格扣除</w:t>
      </w:r>
    </w:p>
    <w:p w14:paraId="6DBB28DC">
      <w:pPr>
        <w:pStyle w:val="14"/>
        <w:numPr>
          <w:ilvl w:val="1"/>
          <w:numId w:val="20"/>
        </w:numPr>
        <w:tabs>
          <w:tab w:val="left" w:pos="1107"/>
        </w:tabs>
        <w:spacing w:before="137" w:line="364" w:lineRule="auto"/>
        <w:ind w:right="394"/>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根据《财政部 发展改革委 生态环境部 市场监管总局关于调整优化节能产品 环境标志产品政府采购执行机制的通知》（财库〔2019〕9 号）及《转发财政部 发展改革委 生态环境部 市场监管总局关于调整优化节能产品环境标志产品政府采购执行机制的通知》</w:t>
      </w:r>
    </w:p>
    <w:p w14:paraId="2ABD105B">
      <w:pPr>
        <w:pStyle w:val="5"/>
        <w:spacing w:line="364" w:lineRule="auto"/>
        <w:ind w:left="1106" w:right="397"/>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（粤财采购〔2019〕1 号），对优先采购的节能产品或环境标志产品的价格给予 1%的扣除，用扣除后的价格参与评审；投标产品中仅有部分节能产品或环境标志产品的，则按所投节能产品或环境标志产品的价格予以扣除。</w:t>
      </w:r>
    </w:p>
    <w:p w14:paraId="61140DC2">
      <w:pPr>
        <w:pStyle w:val="14"/>
        <w:numPr>
          <w:ilvl w:val="1"/>
          <w:numId w:val="20"/>
        </w:numPr>
        <w:tabs>
          <w:tab w:val="left" w:pos="1107"/>
        </w:tabs>
        <w:spacing w:line="269" w:lineRule="exact"/>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享受节能产品环境标志产品价格扣除条件的，投标时提供《节能产品政府采购品目清单》、</w:t>
      </w:r>
    </w:p>
    <w:p w14:paraId="35C39710">
      <w:pPr>
        <w:pStyle w:val="5"/>
        <w:spacing w:before="136"/>
        <w:ind w:left="1106"/>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《环境标志产品政府采购品目清单》中投标产品所在清单页并对所投产品作出明显标示</w:t>
      </w:r>
    </w:p>
    <w:p w14:paraId="7E438720">
      <w:pPr>
        <w:pStyle w:val="5"/>
        <w:spacing w:before="140" w:line="367" w:lineRule="auto"/>
        <w:ind w:left="1106" w:right="393"/>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（如划线、圈记等），同时提供处于有效期之内的节能产品、环境标志产品认证证书复印件。</w:t>
      </w:r>
    </w:p>
    <w:p w14:paraId="02100AF8">
      <w:pPr>
        <w:pStyle w:val="14"/>
        <w:numPr>
          <w:ilvl w:val="0"/>
          <w:numId w:val="16"/>
        </w:numPr>
        <w:tabs>
          <w:tab w:val="left" w:pos="824"/>
        </w:tabs>
        <w:spacing w:line="364" w:lineRule="auto"/>
        <w:ind w:right="396"/>
        <w:jc w:val="both"/>
        <w:rPr>
          <w:rFonts w:ascii="宋体" w:hAnsi="宋体" w:eastAsia="宋体" w:cs="宋体"/>
          <w:spacing w:val="-3"/>
          <w:sz w:val="21"/>
          <w:szCs w:val="22"/>
          <w:lang w:val="zh-CN" w:eastAsia="zh-CN" w:bidi="zh-CN"/>
        </w:rPr>
      </w:pPr>
      <w:r>
        <w:rPr>
          <w:rFonts w:ascii="宋体" w:hAnsi="宋体" w:eastAsia="宋体" w:cs="宋体"/>
          <w:spacing w:val="-3"/>
          <w:sz w:val="21"/>
          <w:szCs w:val="22"/>
          <w:lang w:val="zh-CN" w:eastAsia="zh-CN" w:bidi="zh-CN"/>
        </w:rPr>
        <w:t>综合评分法中的价格分统一采用低价优先法计算，即满足招标文件要求（通过资格性、符合性审查）且投标价格最低的有效投标报价（指修正后报价，下同）为评标基准价，其价格分为满分。其他投标人的价格分统一按照下列公式计算：</w:t>
      </w:r>
    </w:p>
    <w:p w14:paraId="4CE0DC0D">
      <w:pPr>
        <w:spacing w:line="266" w:lineRule="exact"/>
        <w:ind w:left="1663"/>
        <w:rPr>
          <w:rFonts w:ascii="宋体" w:hAnsi="宋体" w:eastAsia="宋体" w:cs="宋体"/>
          <w:b/>
          <w:bCs/>
          <w:spacing w:val="-3"/>
          <w:sz w:val="21"/>
          <w:szCs w:val="22"/>
          <w:lang w:val="zh-CN" w:eastAsia="zh-CN" w:bidi="zh-CN"/>
        </w:rPr>
      </w:pPr>
      <w:r>
        <w:rPr>
          <w:rFonts w:ascii="宋体" w:hAnsi="宋体" w:eastAsia="宋体" w:cs="宋体"/>
          <w:b/>
          <w:bCs/>
          <w:spacing w:val="-3"/>
          <w:sz w:val="21"/>
          <w:szCs w:val="22"/>
          <w:lang w:val="zh-CN" w:eastAsia="zh-CN" w:bidi="zh-CN"/>
        </w:rPr>
        <w:t>投标报价得分=(评标基准价/投标报价)×价格权值×100</w:t>
      </w:r>
    </w:p>
    <w:p w14:paraId="0AB04433">
      <w:pPr>
        <w:pStyle w:val="14"/>
        <w:numPr>
          <w:ilvl w:val="0"/>
          <w:numId w:val="16"/>
        </w:numPr>
        <w:tabs>
          <w:tab w:val="left" w:pos="824"/>
        </w:tabs>
        <w:spacing w:before="136"/>
        <w:ind w:hanging="426"/>
        <w:jc w:val="both"/>
        <w:rPr>
          <w:sz w:val="21"/>
        </w:rPr>
      </w:pPr>
      <w:r>
        <w:rPr>
          <w:rFonts w:ascii="宋体" w:hAnsi="宋体" w:eastAsia="宋体" w:cs="宋体"/>
          <w:spacing w:val="-3"/>
          <w:sz w:val="21"/>
          <w:szCs w:val="22"/>
          <w:lang w:val="zh-CN" w:eastAsia="zh-CN" w:bidi="zh-CN"/>
        </w:rPr>
        <w:t>投标报价得分四舍五入后，小数点后保留两位有效数。</w:t>
      </w:r>
    </w:p>
    <w:p w14:paraId="250937BB">
      <w:pPr>
        <w:jc w:val="both"/>
        <w:rPr>
          <w:sz w:val="21"/>
        </w:rPr>
        <w:sectPr>
          <w:pgSz w:w="11910" w:h="16840"/>
          <w:pgMar w:top="1360" w:right="1340" w:bottom="1420" w:left="1020" w:header="567" w:footer="1216" w:gutter="0"/>
          <w:pgNumType w:fmt="decimal"/>
          <w:cols w:space="720" w:num="1"/>
        </w:sectPr>
      </w:pPr>
    </w:p>
    <w:p w14:paraId="337D57B2">
      <w:pPr>
        <w:pStyle w:val="5"/>
        <w:rPr>
          <w:sz w:val="20"/>
        </w:rPr>
      </w:pPr>
    </w:p>
    <w:p w14:paraId="55628CFF">
      <w:pPr>
        <w:pStyle w:val="5"/>
        <w:rPr>
          <w:sz w:val="20"/>
        </w:rPr>
      </w:pPr>
    </w:p>
    <w:p w14:paraId="055635B9">
      <w:pPr>
        <w:pStyle w:val="5"/>
        <w:rPr>
          <w:sz w:val="20"/>
        </w:rPr>
      </w:pPr>
    </w:p>
    <w:p w14:paraId="683E3FDF">
      <w:pPr>
        <w:pStyle w:val="5"/>
        <w:rPr>
          <w:sz w:val="20"/>
        </w:rPr>
      </w:pPr>
    </w:p>
    <w:p w14:paraId="63D45C7B">
      <w:pPr>
        <w:pStyle w:val="5"/>
        <w:rPr>
          <w:sz w:val="20"/>
        </w:rPr>
      </w:pPr>
    </w:p>
    <w:p w14:paraId="755971F1">
      <w:pPr>
        <w:pStyle w:val="5"/>
        <w:rPr>
          <w:sz w:val="20"/>
        </w:rPr>
      </w:pPr>
    </w:p>
    <w:p w14:paraId="5F156388">
      <w:pPr>
        <w:pStyle w:val="5"/>
        <w:rPr>
          <w:sz w:val="20"/>
        </w:rPr>
      </w:pPr>
    </w:p>
    <w:p w14:paraId="684BD1E2">
      <w:pPr>
        <w:pStyle w:val="5"/>
        <w:rPr>
          <w:sz w:val="20"/>
        </w:rPr>
      </w:pPr>
    </w:p>
    <w:p w14:paraId="18EBE21D">
      <w:pPr>
        <w:pStyle w:val="5"/>
        <w:rPr>
          <w:sz w:val="20"/>
        </w:rPr>
      </w:pPr>
    </w:p>
    <w:p w14:paraId="183538AC">
      <w:pPr>
        <w:pStyle w:val="5"/>
        <w:rPr>
          <w:sz w:val="20"/>
        </w:rPr>
      </w:pPr>
    </w:p>
    <w:p w14:paraId="7304370D">
      <w:pPr>
        <w:pStyle w:val="5"/>
        <w:rPr>
          <w:sz w:val="20"/>
        </w:rPr>
      </w:pPr>
    </w:p>
    <w:p w14:paraId="2D5CB76A">
      <w:pPr>
        <w:pStyle w:val="5"/>
        <w:rPr>
          <w:sz w:val="20"/>
        </w:rPr>
      </w:pPr>
    </w:p>
    <w:p w14:paraId="2207193F">
      <w:pPr>
        <w:pStyle w:val="5"/>
        <w:rPr>
          <w:sz w:val="20"/>
        </w:rPr>
      </w:pPr>
    </w:p>
    <w:p w14:paraId="7E8ADB32">
      <w:pPr>
        <w:pStyle w:val="5"/>
        <w:rPr>
          <w:sz w:val="20"/>
        </w:rPr>
      </w:pPr>
    </w:p>
    <w:p w14:paraId="74604CAC">
      <w:pPr>
        <w:pStyle w:val="5"/>
        <w:rPr>
          <w:sz w:val="20"/>
        </w:rPr>
      </w:pPr>
    </w:p>
    <w:p w14:paraId="5C2366EA">
      <w:pPr>
        <w:pStyle w:val="5"/>
        <w:rPr>
          <w:sz w:val="20"/>
        </w:rPr>
      </w:pPr>
    </w:p>
    <w:p w14:paraId="49A9E562">
      <w:pPr>
        <w:pStyle w:val="5"/>
        <w:rPr>
          <w:sz w:val="20"/>
        </w:rPr>
      </w:pPr>
    </w:p>
    <w:p w14:paraId="51F8C726">
      <w:pPr>
        <w:pStyle w:val="5"/>
        <w:rPr>
          <w:sz w:val="20"/>
        </w:rPr>
      </w:pPr>
    </w:p>
    <w:p w14:paraId="6865E91C">
      <w:pPr>
        <w:pStyle w:val="5"/>
        <w:rPr>
          <w:sz w:val="20"/>
        </w:rPr>
      </w:pPr>
    </w:p>
    <w:p w14:paraId="291ABC06">
      <w:pPr>
        <w:pStyle w:val="5"/>
        <w:rPr>
          <w:sz w:val="20"/>
        </w:rPr>
      </w:pPr>
    </w:p>
    <w:p w14:paraId="64CE3DB4">
      <w:pPr>
        <w:pStyle w:val="5"/>
        <w:spacing w:before="7"/>
        <w:rPr>
          <w:sz w:val="28"/>
        </w:rPr>
      </w:pPr>
    </w:p>
    <w:p w14:paraId="0FC261A7">
      <w:pPr>
        <w:pStyle w:val="3"/>
        <w:ind w:left="835"/>
      </w:pPr>
      <w:bookmarkStart w:id="8" w:name="_bookmark51"/>
      <w:bookmarkEnd w:id="8"/>
      <w:r>
        <w:t>第六章 投标文件格式</w:t>
      </w:r>
    </w:p>
    <w:p w14:paraId="4662069D">
      <w:pPr>
        <w:sectPr>
          <w:pgSz w:w="11910" w:h="16840"/>
          <w:pgMar w:top="1360" w:right="1340" w:bottom="1420" w:left="1020" w:header="567" w:footer="1216" w:gutter="0"/>
          <w:pgNumType w:fmt="decimal"/>
          <w:cols w:space="720" w:num="1"/>
        </w:sectPr>
      </w:pPr>
    </w:p>
    <w:p w14:paraId="4EC0E196">
      <w:pPr>
        <w:pStyle w:val="5"/>
        <w:spacing w:before="4"/>
        <w:rPr>
          <w:b/>
          <w:sz w:val="9"/>
        </w:rPr>
      </w:pPr>
    </w:p>
    <w:p w14:paraId="1EEB0DF2">
      <w:pPr>
        <w:pStyle w:val="4"/>
      </w:pPr>
      <w:r>
        <w:rPr>
          <w:lang w:val="en-US" w:bidi="ar-SA"/>
        </w:rPr>
        <mc:AlternateContent>
          <mc:Choice Requires="wps">
            <w:drawing>
              <wp:anchor distT="0" distB="0" distL="114300" distR="114300" simplePos="0" relativeHeight="251663360" behindDoc="1" locked="0" layoutInCell="1" allowOverlap="1">
                <wp:simplePos x="0" y="0"/>
                <wp:positionH relativeFrom="page">
                  <wp:posOffset>831850</wp:posOffset>
                </wp:positionH>
                <wp:positionV relativeFrom="paragraph">
                  <wp:posOffset>367665</wp:posOffset>
                </wp:positionV>
                <wp:extent cx="5323205" cy="7487285"/>
                <wp:effectExtent l="8890" t="8890" r="20955" b="9525"/>
                <wp:wrapTopAndBottom/>
                <wp:docPr id="23" name="文本框 23"/>
                <wp:cNvGraphicFramePr/>
                <a:graphic xmlns:a="http://schemas.openxmlformats.org/drawingml/2006/main">
                  <a:graphicData uri="http://schemas.microsoft.com/office/word/2010/wordprocessingShape">
                    <wps:wsp>
                      <wps:cNvSpPr txBox="1"/>
                      <wps:spPr>
                        <a:xfrm>
                          <a:off x="0" y="0"/>
                          <a:ext cx="5323205" cy="7487285"/>
                        </a:xfrm>
                        <a:prstGeom prst="rect">
                          <a:avLst/>
                        </a:prstGeom>
                        <a:noFill/>
                        <a:ln w="18288" cap="flat" cmpd="sng">
                          <a:solidFill>
                            <a:srgbClr val="000000"/>
                          </a:solidFill>
                          <a:prstDash val="solid"/>
                          <a:miter/>
                          <a:headEnd type="none" w="med" len="med"/>
                          <a:tailEnd type="none" w="med" len="med"/>
                        </a:ln>
                        <a:effectLst/>
                      </wps:spPr>
                      <wps:txbx>
                        <w:txbxContent>
                          <w:p w14:paraId="08D9D3A1">
                            <w:pPr>
                              <w:pStyle w:val="5"/>
                              <w:rPr>
                                <w:b/>
                                <w:sz w:val="72"/>
                              </w:rPr>
                            </w:pPr>
                          </w:p>
                          <w:p w14:paraId="657D0E31">
                            <w:pPr>
                              <w:pStyle w:val="5"/>
                              <w:spacing w:before="7"/>
                              <w:rPr>
                                <w:b/>
                                <w:sz w:val="102"/>
                              </w:rPr>
                            </w:pPr>
                          </w:p>
                          <w:p w14:paraId="4FE2A415">
                            <w:pPr>
                              <w:tabs>
                                <w:tab w:val="left" w:pos="3252"/>
                              </w:tabs>
                              <w:ind w:right="5"/>
                              <w:jc w:val="center"/>
                              <w:rPr>
                                <w:b/>
                                <w:sz w:val="72"/>
                              </w:rPr>
                            </w:pPr>
                            <w:r>
                              <w:rPr>
                                <w:b/>
                                <w:sz w:val="72"/>
                              </w:rPr>
                              <w:t>投</w:t>
                            </w:r>
                            <w:r>
                              <w:rPr>
                                <w:b/>
                                <w:spacing w:val="-3"/>
                                <w:sz w:val="72"/>
                              </w:rPr>
                              <w:t xml:space="preserve"> </w:t>
                            </w:r>
                            <w:r>
                              <w:rPr>
                                <w:b/>
                                <w:sz w:val="72"/>
                              </w:rPr>
                              <w:t>标</w:t>
                            </w:r>
                            <w:r>
                              <w:rPr>
                                <w:b/>
                                <w:spacing w:val="1"/>
                                <w:sz w:val="72"/>
                              </w:rPr>
                              <w:t xml:space="preserve"> </w:t>
                            </w:r>
                            <w:r>
                              <w:rPr>
                                <w:b/>
                                <w:sz w:val="72"/>
                              </w:rPr>
                              <w:t>文</w:t>
                            </w:r>
                            <w:r>
                              <w:rPr>
                                <w:b/>
                                <w:sz w:val="72"/>
                              </w:rPr>
                              <w:tab/>
                            </w:r>
                            <w:r>
                              <w:rPr>
                                <w:b/>
                                <w:sz w:val="72"/>
                              </w:rPr>
                              <w:t>件</w:t>
                            </w:r>
                          </w:p>
                          <w:p w14:paraId="3C0D4839">
                            <w:pPr>
                              <w:spacing w:before="211" w:line="386" w:lineRule="auto"/>
                              <w:ind w:left="3543" w:right="3181" w:hanging="360"/>
                              <w:rPr>
                                <w:b/>
                                <w:sz w:val="36"/>
                              </w:rPr>
                            </w:pPr>
                            <w:r>
                              <w:rPr>
                                <w:b/>
                                <w:sz w:val="36"/>
                              </w:rPr>
                              <w:t>口 开标信封</w:t>
                            </w:r>
                          </w:p>
                          <w:p w14:paraId="4C2F3F2E">
                            <w:pPr>
                              <w:spacing w:before="211" w:line="386" w:lineRule="auto"/>
                              <w:ind w:left="3543" w:right="3181" w:hanging="360"/>
                              <w:rPr>
                                <w:b/>
                                <w:sz w:val="36"/>
                              </w:rPr>
                            </w:pPr>
                            <w:r>
                              <w:rPr>
                                <w:b/>
                                <w:sz w:val="36"/>
                              </w:rPr>
                              <w:t>口 正本</w:t>
                            </w:r>
                          </w:p>
                          <w:p w14:paraId="128CCA82">
                            <w:pPr>
                              <w:spacing w:before="211" w:line="386" w:lineRule="auto"/>
                              <w:ind w:left="3543" w:right="3181" w:hanging="360"/>
                              <w:rPr>
                                <w:b/>
                                <w:sz w:val="36"/>
                              </w:rPr>
                            </w:pPr>
                            <w:r>
                              <w:rPr>
                                <w:b/>
                                <w:sz w:val="36"/>
                              </w:rPr>
                              <w:t>口 副本</w:t>
                            </w:r>
                          </w:p>
                          <w:p w14:paraId="0B7E7DD4">
                            <w:pPr>
                              <w:pStyle w:val="5"/>
                              <w:rPr>
                                <w:b/>
                                <w:sz w:val="36"/>
                              </w:rPr>
                            </w:pPr>
                          </w:p>
                          <w:p w14:paraId="18114154">
                            <w:pPr>
                              <w:spacing w:before="245"/>
                              <w:ind w:left="658"/>
                              <w:rPr>
                                <w:b/>
                                <w:sz w:val="28"/>
                              </w:rPr>
                            </w:pPr>
                            <w:r>
                              <w:rPr>
                                <w:b/>
                                <w:sz w:val="28"/>
                              </w:rPr>
                              <w:t>项目编号：</w:t>
                            </w:r>
                          </w:p>
                          <w:p w14:paraId="7E199955">
                            <w:pPr>
                              <w:spacing w:before="162" w:line="268" w:lineRule="auto"/>
                              <w:ind w:left="2073" w:right="746" w:hanging="1416"/>
                              <w:rPr>
                                <w:b/>
                                <w:sz w:val="28"/>
                              </w:rPr>
                            </w:pPr>
                            <w:r>
                              <w:rPr>
                                <w:b/>
                                <w:sz w:val="28"/>
                              </w:rPr>
                              <w:t>项目名称：</w:t>
                            </w:r>
                            <w:r>
                              <w:rPr>
                                <w:rFonts w:hint="eastAsia"/>
                                <w:b/>
                                <w:bCs/>
                                <w:sz w:val="28"/>
                                <w:szCs w:val="28"/>
                              </w:rPr>
                              <w:t>202</w:t>
                            </w:r>
                            <w:r>
                              <w:rPr>
                                <w:rFonts w:hint="default"/>
                                <w:b/>
                                <w:bCs/>
                                <w:sz w:val="28"/>
                                <w:szCs w:val="28"/>
                              </w:rPr>
                              <w:t>4</w:t>
                            </w:r>
                            <w:r>
                              <w:rPr>
                                <w:rFonts w:hint="eastAsia"/>
                                <w:b/>
                                <w:bCs/>
                                <w:sz w:val="28"/>
                                <w:szCs w:val="28"/>
                              </w:rPr>
                              <w:t>年广州医科大学附属妇女儿童医疗中心官网升级改版项目</w:t>
                            </w:r>
                          </w:p>
                          <w:p w14:paraId="7C2BE722">
                            <w:pPr>
                              <w:spacing w:before="116" w:line="348" w:lineRule="auto"/>
                              <w:ind w:left="658" w:right="6006"/>
                              <w:rPr>
                                <w:b/>
                                <w:sz w:val="28"/>
                              </w:rPr>
                            </w:pPr>
                            <w:r>
                              <w:rPr>
                                <w:b/>
                                <w:sz w:val="28"/>
                              </w:rPr>
                              <w:t>投标人名称： 投标人地址：</w:t>
                            </w:r>
                          </w:p>
                          <w:p w14:paraId="242F7EE6">
                            <w:pPr>
                              <w:pStyle w:val="5"/>
                              <w:spacing w:before="7"/>
                              <w:rPr>
                                <w:b/>
                                <w:sz w:val="37"/>
                              </w:rPr>
                            </w:pPr>
                          </w:p>
                          <w:p w14:paraId="7C69EDD1">
                            <w:pPr>
                              <w:tabs>
                                <w:tab w:val="left" w:pos="705"/>
                                <w:tab w:val="left" w:pos="1547"/>
                                <w:tab w:val="left" w:pos="2390"/>
                                <w:tab w:val="left" w:pos="3235"/>
                                <w:tab w:val="left" w:pos="4080"/>
                              </w:tabs>
                              <w:jc w:val="center"/>
                              <w:rPr>
                                <w:b/>
                                <w:sz w:val="28"/>
                              </w:rPr>
                            </w:pPr>
                            <w:r>
                              <w:rPr>
                                <w:b/>
                                <w:sz w:val="28"/>
                              </w:rPr>
                              <w:t>(</w:t>
                            </w:r>
                            <w:r>
                              <w:rPr>
                                <w:b/>
                                <w:sz w:val="28"/>
                                <w:u w:val="single"/>
                              </w:rPr>
                              <w:t xml:space="preserve"> </w:t>
                            </w:r>
                            <w:r>
                              <w:rPr>
                                <w:b/>
                                <w:sz w:val="28"/>
                                <w:u w:val="single"/>
                              </w:rPr>
                              <w:tab/>
                            </w:r>
                            <w:r>
                              <w:rPr>
                                <w:b/>
                                <w:sz w:val="28"/>
                              </w:rPr>
                              <w:t>年</w:t>
                            </w:r>
                            <w:r>
                              <w:rPr>
                                <w:b/>
                                <w:sz w:val="28"/>
                                <w:u w:val="single"/>
                              </w:rPr>
                              <w:t xml:space="preserve"> </w:t>
                            </w:r>
                            <w:r>
                              <w:rPr>
                                <w:b/>
                                <w:sz w:val="28"/>
                                <w:u w:val="single"/>
                              </w:rPr>
                              <w:tab/>
                            </w:r>
                            <w:r>
                              <w:rPr>
                                <w:b/>
                                <w:sz w:val="28"/>
                              </w:rPr>
                              <w:t>月</w:t>
                            </w:r>
                            <w:r>
                              <w:rPr>
                                <w:b/>
                                <w:sz w:val="28"/>
                                <w:u w:val="single"/>
                              </w:rPr>
                              <w:t xml:space="preserve"> </w:t>
                            </w:r>
                            <w:r>
                              <w:rPr>
                                <w:b/>
                                <w:sz w:val="28"/>
                                <w:u w:val="single"/>
                              </w:rPr>
                              <w:tab/>
                            </w:r>
                            <w:r>
                              <w:rPr>
                                <w:b/>
                                <w:sz w:val="28"/>
                              </w:rPr>
                              <w:t>日</w:t>
                            </w:r>
                            <w:r>
                              <w:rPr>
                                <w:b/>
                                <w:sz w:val="28"/>
                                <w:u w:val="single"/>
                              </w:rPr>
                              <w:t xml:space="preserve"> </w:t>
                            </w:r>
                            <w:r>
                              <w:rPr>
                                <w:b/>
                                <w:sz w:val="28"/>
                                <w:u w:val="single"/>
                              </w:rPr>
                              <w:tab/>
                            </w:r>
                            <w:r>
                              <w:rPr>
                                <w:b/>
                                <w:sz w:val="28"/>
                              </w:rPr>
                              <w:t>时</w:t>
                            </w:r>
                            <w:r>
                              <w:rPr>
                                <w:b/>
                                <w:sz w:val="28"/>
                                <w:u w:val="single"/>
                              </w:rPr>
                              <w:t xml:space="preserve"> </w:t>
                            </w:r>
                            <w:r>
                              <w:rPr>
                                <w:b/>
                                <w:sz w:val="28"/>
                                <w:u w:val="single"/>
                              </w:rPr>
                              <w:tab/>
                            </w:r>
                            <w:r>
                              <w:rPr>
                                <w:b/>
                                <w:sz w:val="28"/>
                              </w:rPr>
                              <w:t>分)</w:t>
                            </w:r>
                            <w:r>
                              <w:rPr>
                                <w:b/>
                                <w:spacing w:val="-3"/>
                                <w:sz w:val="28"/>
                              </w:rPr>
                              <w:t>之</w:t>
                            </w:r>
                            <w:r>
                              <w:rPr>
                                <w:b/>
                                <w:sz w:val="28"/>
                              </w:rPr>
                              <w:t>前不得启封</w:t>
                            </w:r>
                          </w:p>
                        </w:txbxContent>
                      </wps:txbx>
                      <wps:bodyPr lIns="0" tIns="0" rIns="0" bIns="0" upright="1"/>
                    </wps:wsp>
                  </a:graphicData>
                </a:graphic>
              </wp:anchor>
            </w:drawing>
          </mc:Choice>
          <mc:Fallback>
            <w:pict>
              <v:shape id="_x0000_s1026" o:spid="_x0000_s1026" o:spt="202" type="#_x0000_t202" style="position:absolute;left:0pt;margin-left:65.5pt;margin-top:28.95pt;height:589.55pt;width:419.15pt;mso-position-horizontal-relative:page;mso-wrap-distance-bottom:0pt;mso-wrap-distance-top:0pt;z-index:-251653120;mso-width-relative:page;mso-height-relative:page;" filled="f" stroked="t" coordsize="21600,21600" o:gfxdata="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ueVT52gAA&#10;AAsBAAAPAAAAAAAAAAEAIAAAACIAAABkcnMvZG93bnJldi54bWxQSwECFAAUAAAACACHTuJA385E&#10;zxwCAABDBAAADgAAAAAAAAABACAAAAApAQAAZHJzL2Uyb0RvYy54bWxQSwUGAAAAAAYABgBZAQAA&#10;twUAAAAA&#10;">
                <v:fill on="f" focussize="0,0"/>
                <v:stroke weight="1.44pt" color="#000000" joinstyle="miter"/>
                <v:imagedata o:title=""/>
                <o:lock v:ext="edit" aspectratio="f"/>
                <v:textbox inset="0mm,0mm,0mm,0mm">
                  <w:txbxContent>
                    <w:p w14:paraId="08D9D3A1">
                      <w:pPr>
                        <w:pStyle w:val="5"/>
                        <w:rPr>
                          <w:b/>
                          <w:sz w:val="72"/>
                        </w:rPr>
                      </w:pPr>
                    </w:p>
                    <w:p w14:paraId="657D0E31">
                      <w:pPr>
                        <w:pStyle w:val="5"/>
                        <w:spacing w:before="7"/>
                        <w:rPr>
                          <w:b/>
                          <w:sz w:val="102"/>
                        </w:rPr>
                      </w:pPr>
                    </w:p>
                    <w:p w14:paraId="4FE2A415">
                      <w:pPr>
                        <w:tabs>
                          <w:tab w:val="left" w:pos="3252"/>
                        </w:tabs>
                        <w:ind w:right="5"/>
                        <w:jc w:val="center"/>
                        <w:rPr>
                          <w:b/>
                          <w:sz w:val="72"/>
                        </w:rPr>
                      </w:pPr>
                      <w:r>
                        <w:rPr>
                          <w:b/>
                          <w:sz w:val="72"/>
                        </w:rPr>
                        <w:t>投</w:t>
                      </w:r>
                      <w:r>
                        <w:rPr>
                          <w:b/>
                          <w:spacing w:val="-3"/>
                          <w:sz w:val="72"/>
                        </w:rPr>
                        <w:t xml:space="preserve"> </w:t>
                      </w:r>
                      <w:r>
                        <w:rPr>
                          <w:b/>
                          <w:sz w:val="72"/>
                        </w:rPr>
                        <w:t>标</w:t>
                      </w:r>
                      <w:r>
                        <w:rPr>
                          <w:b/>
                          <w:spacing w:val="1"/>
                          <w:sz w:val="72"/>
                        </w:rPr>
                        <w:t xml:space="preserve"> </w:t>
                      </w:r>
                      <w:r>
                        <w:rPr>
                          <w:b/>
                          <w:sz w:val="72"/>
                        </w:rPr>
                        <w:t>文</w:t>
                      </w:r>
                      <w:r>
                        <w:rPr>
                          <w:b/>
                          <w:sz w:val="72"/>
                        </w:rPr>
                        <w:tab/>
                      </w:r>
                      <w:r>
                        <w:rPr>
                          <w:b/>
                          <w:sz w:val="72"/>
                        </w:rPr>
                        <w:t>件</w:t>
                      </w:r>
                    </w:p>
                    <w:p w14:paraId="3C0D4839">
                      <w:pPr>
                        <w:spacing w:before="211" w:line="386" w:lineRule="auto"/>
                        <w:ind w:left="3543" w:right="3181" w:hanging="360"/>
                        <w:rPr>
                          <w:b/>
                          <w:sz w:val="36"/>
                        </w:rPr>
                      </w:pPr>
                      <w:r>
                        <w:rPr>
                          <w:b/>
                          <w:sz w:val="36"/>
                        </w:rPr>
                        <w:t>口 开标信封</w:t>
                      </w:r>
                    </w:p>
                    <w:p w14:paraId="4C2F3F2E">
                      <w:pPr>
                        <w:spacing w:before="211" w:line="386" w:lineRule="auto"/>
                        <w:ind w:left="3543" w:right="3181" w:hanging="360"/>
                        <w:rPr>
                          <w:b/>
                          <w:sz w:val="36"/>
                        </w:rPr>
                      </w:pPr>
                      <w:r>
                        <w:rPr>
                          <w:b/>
                          <w:sz w:val="36"/>
                        </w:rPr>
                        <w:t>口 正本</w:t>
                      </w:r>
                    </w:p>
                    <w:p w14:paraId="128CCA82">
                      <w:pPr>
                        <w:spacing w:before="211" w:line="386" w:lineRule="auto"/>
                        <w:ind w:left="3543" w:right="3181" w:hanging="360"/>
                        <w:rPr>
                          <w:b/>
                          <w:sz w:val="36"/>
                        </w:rPr>
                      </w:pPr>
                      <w:r>
                        <w:rPr>
                          <w:b/>
                          <w:sz w:val="36"/>
                        </w:rPr>
                        <w:t>口 副本</w:t>
                      </w:r>
                    </w:p>
                    <w:p w14:paraId="0B7E7DD4">
                      <w:pPr>
                        <w:pStyle w:val="5"/>
                        <w:rPr>
                          <w:b/>
                          <w:sz w:val="36"/>
                        </w:rPr>
                      </w:pPr>
                    </w:p>
                    <w:p w14:paraId="18114154">
                      <w:pPr>
                        <w:spacing w:before="245"/>
                        <w:ind w:left="658"/>
                        <w:rPr>
                          <w:b/>
                          <w:sz w:val="28"/>
                        </w:rPr>
                      </w:pPr>
                      <w:r>
                        <w:rPr>
                          <w:b/>
                          <w:sz w:val="28"/>
                        </w:rPr>
                        <w:t>项目编号：</w:t>
                      </w:r>
                    </w:p>
                    <w:p w14:paraId="7E199955">
                      <w:pPr>
                        <w:spacing w:before="162" w:line="268" w:lineRule="auto"/>
                        <w:ind w:left="2073" w:right="746" w:hanging="1416"/>
                        <w:rPr>
                          <w:b/>
                          <w:sz w:val="28"/>
                        </w:rPr>
                      </w:pPr>
                      <w:r>
                        <w:rPr>
                          <w:b/>
                          <w:sz w:val="28"/>
                        </w:rPr>
                        <w:t>项目名称：</w:t>
                      </w:r>
                      <w:r>
                        <w:rPr>
                          <w:rFonts w:hint="eastAsia"/>
                          <w:b/>
                          <w:bCs/>
                          <w:sz w:val="28"/>
                          <w:szCs w:val="28"/>
                        </w:rPr>
                        <w:t>202</w:t>
                      </w:r>
                      <w:r>
                        <w:rPr>
                          <w:rFonts w:hint="default"/>
                          <w:b/>
                          <w:bCs/>
                          <w:sz w:val="28"/>
                          <w:szCs w:val="28"/>
                        </w:rPr>
                        <w:t>4</w:t>
                      </w:r>
                      <w:r>
                        <w:rPr>
                          <w:rFonts w:hint="eastAsia"/>
                          <w:b/>
                          <w:bCs/>
                          <w:sz w:val="28"/>
                          <w:szCs w:val="28"/>
                        </w:rPr>
                        <w:t>年广州医科大学附属妇女儿童医疗中心官网升级改版项目</w:t>
                      </w:r>
                    </w:p>
                    <w:p w14:paraId="7C2BE722">
                      <w:pPr>
                        <w:spacing w:before="116" w:line="348" w:lineRule="auto"/>
                        <w:ind w:left="658" w:right="6006"/>
                        <w:rPr>
                          <w:b/>
                          <w:sz w:val="28"/>
                        </w:rPr>
                      </w:pPr>
                      <w:r>
                        <w:rPr>
                          <w:b/>
                          <w:sz w:val="28"/>
                        </w:rPr>
                        <w:t>投标人名称： 投标人地址：</w:t>
                      </w:r>
                    </w:p>
                    <w:p w14:paraId="242F7EE6">
                      <w:pPr>
                        <w:pStyle w:val="5"/>
                        <w:spacing w:before="7"/>
                        <w:rPr>
                          <w:b/>
                          <w:sz w:val="37"/>
                        </w:rPr>
                      </w:pPr>
                    </w:p>
                    <w:p w14:paraId="7C69EDD1">
                      <w:pPr>
                        <w:tabs>
                          <w:tab w:val="left" w:pos="705"/>
                          <w:tab w:val="left" w:pos="1547"/>
                          <w:tab w:val="left" w:pos="2390"/>
                          <w:tab w:val="left" w:pos="3235"/>
                          <w:tab w:val="left" w:pos="4080"/>
                        </w:tabs>
                        <w:jc w:val="center"/>
                        <w:rPr>
                          <w:b/>
                          <w:sz w:val="28"/>
                        </w:rPr>
                      </w:pPr>
                      <w:r>
                        <w:rPr>
                          <w:b/>
                          <w:sz w:val="28"/>
                        </w:rPr>
                        <w:t>(</w:t>
                      </w:r>
                      <w:r>
                        <w:rPr>
                          <w:b/>
                          <w:sz w:val="28"/>
                          <w:u w:val="single"/>
                        </w:rPr>
                        <w:t xml:space="preserve"> </w:t>
                      </w:r>
                      <w:r>
                        <w:rPr>
                          <w:b/>
                          <w:sz w:val="28"/>
                          <w:u w:val="single"/>
                        </w:rPr>
                        <w:tab/>
                      </w:r>
                      <w:r>
                        <w:rPr>
                          <w:b/>
                          <w:sz w:val="28"/>
                        </w:rPr>
                        <w:t>年</w:t>
                      </w:r>
                      <w:r>
                        <w:rPr>
                          <w:b/>
                          <w:sz w:val="28"/>
                          <w:u w:val="single"/>
                        </w:rPr>
                        <w:t xml:space="preserve"> </w:t>
                      </w:r>
                      <w:r>
                        <w:rPr>
                          <w:b/>
                          <w:sz w:val="28"/>
                          <w:u w:val="single"/>
                        </w:rPr>
                        <w:tab/>
                      </w:r>
                      <w:r>
                        <w:rPr>
                          <w:b/>
                          <w:sz w:val="28"/>
                        </w:rPr>
                        <w:t>月</w:t>
                      </w:r>
                      <w:r>
                        <w:rPr>
                          <w:b/>
                          <w:sz w:val="28"/>
                          <w:u w:val="single"/>
                        </w:rPr>
                        <w:t xml:space="preserve"> </w:t>
                      </w:r>
                      <w:r>
                        <w:rPr>
                          <w:b/>
                          <w:sz w:val="28"/>
                          <w:u w:val="single"/>
                        </w:rPr>
                        <w:tab/>
                      </w:r>
                      <w:r>
                        <w:rPr>
                          <w:b/>
                          <w:sz w:val="28"/>
                        </w:rPr>
                        <w:t>日</w:t>
                      </w:r>
                      <w:r>
                        <w:rPr>
                          <w:b/>
                          <w:sz w:val="28"/>
                          <w:u w:val="single"/>
                        </w:rPr>
                        <w:t xml:space="preserve"> </w:t>
                      </w:r>
                      <w:r>
                        <w:rPr>
                          <w:b/>
                          <w:sz w:val="28"/>
                          <w:u w:val="single"/>
                        </w:rPr>
                        <w:tab/>
                      </w:r>
                      <w:r>
                        <w:rPr>
                          <w:b/>
                          <w:sz w:val="28"/>
                        </w:rPr>
                        <w:t>时</w:t>
                      </w:r>
                      <w:r>
                        <w:rPr>
                          <w:b/>
                          <w:sz w:val="28"/>
                          <w:u w:val="single"/>
                        </w:rPr>
                        <w:t xml:space="preserve"> </w:t>
                      </w:r>
                      <w:r>
                        <w:rPr>
                          <w:b/>
                          <w:sz w:val="28"/>
                          <w:u w:val="single"/>
                        </w:rPr>
                        <w:tab/>
                      </w:r>
                      <w:r>
                        <w:rPr>
                          <w:b/>
                          <w:sz w:val="28"/>
                        </w:rPr>
                        <w:t>分)</w:t>
                      </w:r>
                      <w:r>
                        <w:rPr>
                          <w:b/>
                          <w:spacing w:val="-3"/>
                          <w:sz w:val="28"/>
                        </w:rPr>
                        <w:t>之</w:t>
                      </w:r>
                      <w:r>
                        <w:rPr>
                          <w:b/>
                          <w:sz w:val="28"/>
                        </w:rPr>
                        <w:t>前不得启封</w:t>
                      </w:r>
                    </w:p>
                  </w:txbxContent>
                </v:textbox>
                <w10:wrap type="topAndBottom"/>
              </v:shape>
            </w:pict>
          </mc:Fallback>
        </mc:AlternateContent>
      </w:r>
      <w:r>
        <w:t>投标文件包装封面参考</w:t>
      </w:r>
    </w:p>
    <w:p w14:paraId="382D7058">
      <w:pPr>
        <w:sectPr>
          <w:pgSz w:w="11910" w:h="16840"/>
          <w:pgMar w:top="1360" w:right="1340" w:bottom="1420" w:left="1020" w:header="567" w:footer="1216" w:gutter="0"/>
          <w:pgNumType w:fmt="decimal"/>
          <w:cols w:space="720" w:num="1"/>
        </w:sectPr>
      </w:pPr>
    </w:p>
    <w:p w14:paraId="4645BACD">
      <w:pPr>
        <w:pStyle w:val="5"/>
        <w:spacing w:before="4"/>
        <w:rPr>
          <w:b/>
          <w:sz w:val="9"/>
        </w:rPr>
      </w:pPr>
    </w:p>
    <w:p w14:paraId="337B3C03">
      <w:pPr>
        <w:spacing w:before="58"/>
        <w:ind w:left="841" w:right="899"/>
        <w:jc w:val="center"/>
        <w:rPr>
          <w:b/>
          <w:sz w:val="30"/>
        </w:rPr>
      </w:pPr>
      <w:r>
        <w:rPr>
          <w:b/>
          <w:sz w:val="30"/>
        </w:rPr>
        <w:t>投标文件目录表</w:t>
      </w:r>
    </w:p>
    <w:p w14:paraId="1E156C6E">
      <w:pPr>
        <w:bidi w:val="0"/>
        <w:rPr>
          <w:rFonts w:hint="eastAsia"/>
          <w:sz w:val="21"/>
          <w:szCs w:val="21"/>
        </w:rPr>
      </w:pPr>
      <w:r>
        <w:rPr>
          <w:sz w:val="21"/>
          <w:szCs w:val="21"/>
        </w:rPr>
        <w:t>项目名称：</w:t>
      </w:r>
      <w:r>
        <w:rPr>
          <w:rFonts w:hint="eastAsia"/>
          <w:sz w:val="21"/>
          <w:szCs w:val="21"/>
        </w:rPr>
        <w:t>2024年广州医科大学附属妇女儿童医疗中心官网升级改版项目</w:t>
      </w:r>
    </w:p>
    <w:p w14:paraId="48BA4696">
      <w:pPr>
        <w:pStyle w:val="5"/>
        <w:rPr>
          <w:rFonts w:hint="eastAsia"/>
          <w:lang w:val="en-US" w:eastAsia="zh-Hans"/>
        </w:rPr>
      </w:pPr>
    </w:p>
    <w:tbl>
      <w:tblPr>
        <w:tblStyle w:val="10"/>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366"/>
        <w:gridCol w:w="547"/>
        <w:gridCol w:w="4057"/>
        <w:gridCol w:w="535"/>
        <w:gridCol w:w="487"/>
        <w:gridCol w:w="725"/>
        <w:gridCol w:w="728"/>
      </w:tblGrid>
      <w:tr w14:paraId="372A453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9" w:hRule="atLeast"/>
        </w:trPr>
        <w:tc>
          <w:tcPr>
            <w:tcW w:w="1366" w:type="dxa"/>
            <w:vMerge w:val="restart"/>
            <w:tcBorders>
              <w:bottom w:val="single" w:color="000000" w:sz="6" w:space="0"/>
              <w:right w:val="single" w:color="000000" w:sz="6" w:space="0"/>
            </w:tcBorders>
            <w:shd w:val="clear" w:color="auto" w:fill="EDEBE0"/>
            <w:noWrap w:val="0"/>
            <w:vAlign w:val="top"/>
          </w:tcPr>
          <w:p w14:paraId="79D3EA8C">
            <w:pPr>
              <w:pStyle w:val="15"/>
              <w:spacing w:before="7"/>
              <w:rPr>
                <w:sz w:val="14"/>
              </w:rPr>
            </w:pPr>
          </w:p>
          <w:p w14:paraId="4B06FDD6">
            <w:pPr>
              <w:pStyle w:val="15"/>
              <w:ind w:left="261"/>
              <w:rPr>
                <w:b/>
                <w:sz w:val="21"/>
              </w:rPr>
            </w:pPr>
            <w:r>
              <w:rPr>
                <w:b/>
                <w:sz w:val="21"/>
              </w:rPr>
              <w:t>文件类型</w:t>
            </w:r>
          </w:p>
        </w:tc>
        <w:tc>
          <w:tcPr>
            <w:tcW w:w="547" w:type="dxa"/>
            <w:vMerge w:val="restart"/>
            <w:tcBorders>
              <w:left w:val="single" w:color="000000" w:sz="6" w:space="0"/>
              <w:bottom w:val="single" w:color="000000" w:sz="6" w:space="0"/>
              <w:right w:val="single" w:color="000000" w:sz="6" w:space="0"/>
            </w:tcBorders>
            <w:shd w:val="clear" w:color="auto" w:fill="EDEBE0"/>
            <w:noWrap w:val="0"/>
            <w:vAlign w:val="top"/>
          </w:tcPr>
          <w:p w14:paraId="7FC4885E">
            <w:pPr>
              <w:pStyle w:val="15"/>
              <w:spacing w:before="7"/>
              <w:rPr>
                <w:sz w:val="14"/>
              </w:rPr>
            </w:pPr>
          </w:p>
          <w:p w14:paraId="3FECBE2D">
            <w:pPr>
              <w:pStyle w:val="15"/>
              <w:ind w:left="66"/>
              <w:rPr>
                <w:b/>
                <w:sz w:val="21"/>
              </w:rPr>
            </w:pPr>
            <w:r>
              <w:rPr>
                <w:b/>
                <w:sz w:val="21"/>
              </w:rPr>
              <w:t>序号</w:t>
            </w:r>
          </w:p>
        </w:tc>
        <w:tc>
          <w:tcPr>
            <w:tcW w:w="4057" w:type="dxa"/>
            <w:vMerge w:val="restart"/>
            <w:tcBorders>
              <w:left w:val="single" w:color="000000" w:sz="6" w:space="0"/>
              <w:bottom w:val="single" w:color="000000" w:sz="6" w:space="0"/>
              <w:right w:val="single" w:color="000000" w:sz="6" w:space="0"/>
            </w:tcBorders>
            <w:shd w:val="clear" w:color="auto" w:fill="EDEBE0"/>
            <w:noWrap w:val="0"/>
            <w:vAlign w:val="top"/>
          </w:tcPr>
          <w:p w14:paraId="2764163B">
            <w:pPr>
              <w:pStyle w:val="15"/>
              <w:spacing w:before="7"/>
              <w:rPr>
                <w:sz w:val="14"/>
              </w:rPr>
            </w:pPr>
          </w:p>
          <w:p w14:paraId="57669BB6">
            <w:pPr>
              <w:pStyle w:val="15"/>
              <w:tabs>
                <w:tab w:val="left" w:pos="1615"/>
                <w:tab w:val="left" w:pos="2249"/>
                <w:tab w:val="left" w:pos="2880"/>
              </w:tabs>
              <w:ind w:left="982"/>
              <w:rPr>
                <w:b/>
                <w:sz w:val="21"/>
              </w:rPr>
            </w:pPr>
            <w:r>
              <w:rPr>
                <w:b/>
                <w:sz w:val="21"/>
              </w:rPr>
              <w:t>文</w:t>
            </w:r>
            <w:r>
              <w:rPr>
                <w:b/>
                <w:sz w:val="21"/>
              </w:rPr>
              <w:tab/>
            </w:r>
            <w:r>
              <w:rPr>
                <w:b/>
                <w:sz w:val="21"/>
              </w:rPr>
              <w:t>件</w:t>
            </w:r>
            <w:r>
              <w:rPr>
                <w:b/>
                <w:sz w:val="21"/>
              </w:rPr>
              <w:tab/>
            </w:r>
            <w:r>
              <w:rPr>
                <w:b/>
                <w:sz w:val="21"/>
              </w:rPr>
              <w:t>名</w:t>
            </w:r>
            <w:r>
              <w:rPr>
                <w:b/>
                <w:sz w:val="21"/>
              </w:rPr>
              <w:tab/>
            </w:r>
            <w:r>
              <w:rPr>
                <w:b/>
                <w:sz w:val="21"/>
              </w:rPr>
              <w:t>称</w:t>
            </w:r>
          </w:p>
        </w:tc>
        <w:tc>
          <w:tcPr>
            <w:tcW w:w="1022" w:type="dxa"/>
            <w:gridSpan w:val="2"/>
            <w:tcBorders>
              <w:left w:val="single" w:color="000000" w:sz="6" w:space="0"/>
              <w:bottom w:val="single" w:color="000000" w:sz="6" w:space="0"/>
              <w:right w:val="single" w:color="000000" w:sz="6" w:space="0"/>
            </w:tcBorders>
            <w:shd w:val="clear" w:color="auto" w:fill="EDEBE0"/>
            <w:noWrap w:val="0"/>
            <w:vAlign w:val="top"/>
          </w:tcPr>
          <w:p w14:paraId="3A0E1A2B">
            <w:pPr>
              <w:pStyle w:val="15"/>
              <w:spacing w:before="21"/>
              <w:ind w:left="83"/>
              <w:rPr>
                <w:b/>
                <w:sz w:val="21"/>
              </w:rPr>
            </w:pPr>
            <w:r>
              <w:rPr>
                <w:b/>
                <w:sz w:val="21"/>
              </w:rPr>
              <w:t>提交情况</w:t>
            </w:r>
          </w:p>
        </w:tc>
        <w:tc>
          <w:tcPr>
            <w:tcW w:w="725" w:type="dxa"/>
            <w:vMerge w:val="restart"/>
            <w:tcBorders>
              <w:left w:val="single" w:color="000000" w:sz="6" w:space="0"/>
              <w:bottom w:val="single" w:color="000000" w:sz="6" w:space="0"/>
              <w:right w:val="single" w:color="000000" w:sz="6" w:space="0"/>
            </w:tcBorders>
            <w:shd w:val="clear" w:color="auto" w:fill="EDEBE0"/>
            <w:noWrap w:val="0"/>
            <w:vAlign w:val="top"/>
          </w:tcPr>
          <w:p w14:paraId="458BD8BE">
            <w:pPr>
              <w:pStyle w:val="15"/>
              <w:spacing w:before="30"/>
              <w:ind w:left="158"/>
              <w:rPr>
                <w:b/>
                <w:sz w:val="21"/>
              </w:rPr>
            </w:pPr>
            <w:r>
              <w:rPr>
                <w:b/>
                <w:sz w:val="21"/>
              </w:rPr>
              <w:t>页码</w:t>
            </w:r>
          </w:p>
          <w:p w14:paraId="1E45348E">
            <w:pPr>
              <w:pStyle w:val="15"/>
              <w:spacing w:before="43"/>
              <w:ind w:left="158"/>
              <w:rPr>
                <w:b/>
                <w:sz w:val="21"/>
              </w:rPr>
            </w:pPr>
            <w:r>
              <w:rPr>
                <w:b/>
                <w:sz w:val="21"/>
              </w:rPr>
              <w:t>范围</w:t>
            </w:r>
          </w:p>
        </w:tc>
        <w:tc>
          <w:tcPr>
            <w:tcW w:w="728" w:type="dxa"/>
            <w:vMerge w:val="restart"/>
            <w:tcBorders>
              <w:left w:val="single" w:color="000000" w:sz="6" w:space="0"/>
              <w:bottom w:val="single" w:color="000000" w:sz="6" w:space="0"/>
            </w:tcBorders>
            <w:shd w:val="clear" w:color="auto" w:fill="EDEBE0"/>
            <w:noWrap w:val="0"/>
            <w:vAlign w:val="top"/>
          </w:tcPr>
          <w:p w14:paraId="5628DEB7">
            <w:pPr>
              <w:pStyle w:val="15"/>
              <w:spacing w:before="7"/>
              <w:rPr>
                <w:sz w:val="14"/>
              </w:rPr>
            </w:pPr>
          </w:p>
          <w:p w14:paraId="30610882">
            <w:pPr>
              <w:pStyle w:val="15"/>
              <w:ind w:left="158"/>
              <w:rPr>
                <w:b/>
                <w:sz w:val="21"/>
              </w:rPr>
            </w:pPr>
            <w:r>
              <w:rPr>
                <w:b/>
                <w:sz w:val="21"/>
              </w:rPr>
              <w:t>备注</w:t>
            </w:r>
          </w:p>
        </w:tc>
      </w:tr>
      <w:tr w14:paraId="2271B4B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trPr>
        <w:tc>
          <w:tcPr>
            <w:tcW w:w="1366" w:type="dxa"/>
            <w:vMerge w:val="continue"/>
            <w:tcBorders>
              <w:top w:val="nil"/>
              <w:bottom w:val="single" w:color="000000" w:sz="6" w:space="0"/>
              <w:right w:val="single" w:color="000000" w:sz="6" w:space="0"/>
            </w:tcBorders>
            <w:shd w:val="clear" w:color="auto" w:fill="EDEBE0"/>
            <w:noWrap w:val="0"/>
            <w:vAlign w:val="top"/>
          </w:tcPr>
          <w:p w14:paraId="159A9C8C">
            <w:pPr>
              <w:rPr>
                <w:sz w:val="2"/>
                <w:szCs w:val="2"/>
              </w:rPr>
            </w:pPr>
          </w:p>
        </w:tc>
        <w:tc>
          <w:tcPr>
            <w:tcW w:w="547" w:type="dxa"/>
            <w:vMerge w:val="continue"/>
            <w:tcBorders>
              <w:top w:val="nil"/>
              <w:left w:val="single" w:color="000000" w:sz="6" w:space="0"/>
              <w:bottom w:val="single" w:color="000000" w:sz="6" w:space="0"/>
              <w:right w:val="single" w:color="000000" w:sz="6" w:space="0"/>
            </w:tcBorders>
            <w:shd w:val="clear" w:color="auto" w:fill="EDEBE0"/>
            <w:noWrap w:val="0"/>
            <w:vAlign w:val="top"/>
          </w:tcPr>
          <w:p w14:paraId="047469EA">
            <w:pPr>
              <w:rPr>
                <w:sz w:val="2"/>
                <w:szCs w:val="2"/>
              </w:rPr>
            </w:pPr>
          </w:p>
        </w:tc>
        <w:tc>
          <w:tcPr>
            <w:tcW w:w="4057" w:type="dxa"/>
            <w:vMerge w:val="continue"/>
            <w:tcBorders>
              <w:top w:val="nil"/>
              <w:left w:val="single" w:color="000000" w:sz="6" w:space="0"/>
              <w:bottom w:val="single" w:color="000000" w:sz="6" w:space="0"/>
              <w:right w:val="single" w:color="000000" w:sz="6" w:space="0"/>
            </w:tcBorders>
            <w:shd w:val="clear" w:color="auto" w:fill="EDEBE0"/>
            <w:noWrap w:val="0"/>
            <w:vAlign w:val="top"/>
          </w:tcPr>
          <w:p w14:paraId="2CEE4B0E">
            <w:pPr>
              <w:rPr>
                <w:sz w:val="2"/>
                <w:szCs w:val="2"/>
              </w:rPr>
            </w:pPr>
          </w:p>
        </w:tc>
        <w:tc>
          <w:tcPr>
            <w:tcW w:w="53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59DD5293">
            <w:pPr>
              <w:pStyle w:val="15"/>
              <w:spacing w:before="25"/>
              <w:ind w:left="167"/>
              <w:rPr>
                <w:b/>
                <w:sz w:val="21"/>
              </w:rPr>
            </w:pPr>
            <w:r>
              <w:rPr>
                <w:b/>
                <w:sz w:val="21"/>
              </w:rPr>
              <w:t>有</w:t>
            </w:r>
          </w:p>
        </w:tc>
        <w:tc>
          <w:tcPr>
            <w:tcW w:w="487"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3620C9A1">
            <w:pPr>
              <w:pStyle w:val="15"/>
              <w:spacing w:before="25"/>
              <w:ind w:left="144"/>
              <w:rPr>
                <w:b/>
                <w:sz w:val="21"/>
              </w:rPr>
            </w:pPr>
            <w:r>
              <w:rPr>
                <w:b/>
                <w:sz w:val="21"/>
              </w:rPr>
              <w:t>无</w:t>
            </w:r>
          </w:p>
        </w:tc>
        <w:tc>
          <w:tcPr>
            <w:tcW w:w="725" w:type="dxa"/>
            <w:vMerge w:val="continue"/>
            <w:tcBorders>
              <w:top w:val="nil"/>
              <w:left w:val="single" w:color="000000" w:sz="6" w:space="0"/>
              <w:bottom w:val="single" w:color="000000" w:sz="6" w:space="0"/>
              <w:right w:val="single" w:color="000000" w:sz="6" w:space="0"/>
            </w:tcBorders>
            <w:shd w:val="clear" w:color="auto" w:fill="EDEBE0"/>
            <w:noWrap w:val="0"/>
            <w:vAlign w:val="top"/>
          </w:tcPr>
          <w:p w14:paraId="5421AE8A">
            <w:pPr>
              <w:rPr>
                <w:sz w:val="2"/>
                <w:szCs w:val="2"/>
              </w:rPr>
            </w:pPr>
          </w:p>
        </w:tc>
        <w:tc>
          <w:tcPr>
            <w:tcW w:w="728" w:type="dxa"/>
            <w:vMerge w:val="continue"/>
            <w:tcBorders>
              <w:top w:val="nil"/>
              <w:left w:val="single" w:color="000000" w:sz="6" w:space="0"/>
              <w:bottom w:val="single" w:color="000000" w:sz="6" w:space="0"/>
            </w:tcBorders>
            <w:shd w:val="clear" w:color="auto" w:fill="EDEBE0"/>
            <w:noWrap w:val="0"/>
            <w:vAlign w:val="top"/>
          </w:tcPr>
          <w:p w14:paraId="05208E12">
            <w:pPr>
              <w:rPr>
                <w:sz w:val="2"/>
                <w:szCs w:val="2"/>
              </w:rPr>
            </w:pPr>
          </w:p>
        </w:tc>
      </w:tr>
      <w:tr w14:paraId="68E08D7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366" w:type="dxa"/>
            <w:vMerge w:val="restart"/>
            <w:tcBorders>
              <w:top w:val="single" w:color="000000" w:sz="6" w:space="0"/>
              <w:bottom w:val="single" w:color="000000" w:sz="6" w:space="0"/>
              <w:right w:val="single" w:color="000000" w:sz="6" w:space="0"/>
            </w:tcBorders>
            <w:shd w:val="clear" w:color="auto" w:fill="auto"/>
            <w:noWrap w:val="0"/>
            <w:vAlign w:val="top"/>
          </w:tcPr>
          <w:p w14:paraId="357A12A3">
            <w:pPr>
              <w:pStyle w:val="15"/>
              <w:rPr>
                <w:sz w:val="20"/>
              </w:rPr>
            </w:pPr>
          </w:p>
          <w:p w14:paraId="18C13084">
            <w:pPr>
              <w:pStyle w:val="15"/>
              <w:rPr>
                <w:sz w:val="20"/>
              </w:rPr>
            </w:pPr>
          </w:p>
          <w:p w14:paraId="1B56167E">
            <w:pPr>
              <w:pStyle w:val="15"/>
              <w:rPr>
                <w:sz w:val="20"/>
              </w:rPr>
            </w:pPr>
          </w:p>
          <w:p w14:paraId="4BE9C824">
            <w:pPr>
              <w:pStyle w:val="15"/>
              <w:rPr>
                <w:sz w:val="20"/>
              </w:rPr>
            </w:pPr>
          </w:p>
          <w:p w14:paraId="38C0BEDA">
            <w:pPr>
              <w:pStyle w:val="15"/>
              <w:rPr>
                <w:sz w:val="20"/>
              </w:rPr>
            </w:pPr>
          </w:p>
          <w:p w14:paraId="683A008D">
            <w:pPr>
              <w:pStyle w:val="15"/>
              <w:rPr>
                <w:sz w:val="20"/>
              </w:rPr>
            </w:pPr>
          </w:p>
          <w:p w14:paraId="4BDC60F6">
            <w:pPr>
              <w:pStyle w:val="15"/>
              <w:rPr>
                <w:sz w:val="20"/>
              </w:rPr>
            </w:pPr>
          </w:p>
          <w:p w14:paraId="7A3A58E7">
            <w:pPr>
              <w:pStyle w:val="15"/>
              <w:rPr>
                <w:sz w:val="20"/>
              </w:rPr>
            </w:pPr>
          </w:p>
          <w:p w14:paraId="35D52256">
            <w:pPr>
              <w:pStyle w:val="15"/>
              <w:rPr>
                <w:sz w:val="20"/>
              </w:rPr>
            </w:pPr>
          </w:p>
          <w:p w14:paraId="2B16ABA6">
            <w:pPr>
              <w:pStyle w:val="15"/>
              <w:rPr>
                <w:sz w:val="20"/>
              </w:rPr>
            </w:pPr>
          </w:p>
          <w:p w14:paraId="01EDA1A2">
            <w:pPr>
              <w:pStyle w:val="15"/>
              <w:spacing w:before="8"/>
              <w:rPr>
                <w:sz w:val="25"/>
              </w:rPr>
            </w:pPr>
          </w:p>
          <w:p w14:paraId="440AB5C2">
            <w:pPr>
              <w:pStyle w:val="15"/>
              <w:spacing w:line="278" w:lineRule="auto"/>
              <w:ind w:left="155" w:right="129"/>
              <w:jc w:val="both"/>
              <w:rPr>
                <w:b/>
                <w:sz w:val="21"/>
              </w:rPr>
            </w:pPr>
            <w:r>
              <w:rPr>
                <w:b/>
                <w:sz w:val="21"/>
              </w:rPr>
              <w:t>资格审查文件（加盖投标人公章）</w:t>
            </w: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2B6A05E">
            <w:pPr>
              <w:pStyle w:val="15"/>
              <w:spacing w:before="22"/>
              <w:ind w:right="182"/>
              <w:jc w:val="right"/>
              <w:rPr>
                <w:sz w:val="21"/>
              </w:rPr>
            </w:pPr>
            <w:r>
              <w:rPr>
                <w:sz w:val="21"/>
              </w:rPr>
              <w:t>1</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9FE669B">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投标人资格声明函</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EF48D6A">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5710FC0">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1EC237A6">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05A9C4CC">
            <w:pPr>
              <w:pStyle w:val="15"/>
              <w:rPr>
                <w:rFonts w:ascii="Times New Roman"/>
                <w:sz w:val="20"/>
              </w:rPr>
            </w:pPr>
          </w:p>
        </w:tc>
      </w:tr>
      <w:tr w14:paraId="26B42C1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7"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0E04257A">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5464E9E">
            <w:pPr>
              <w:pStyle w:val="15"/>
              <w:spacing w:before="5"/>
              <w:rPr>
                <w:sz w:val="21"/>
              </w:rPr>
            </w:pPr>
          </w:p>
          <w:p w14:paraId="109BC1EB">
            <w:pPr>
              <w:pStyle w:val="15"/>
              <w:ind w:right="182"/>
              <w:jc w:val="right"/>
              <w:rPr>
                <w:sz w:val="21"/>
              </w:rPr>
            </w:pPr>
            <w:r>
              <w:rPr>
                <w:sz w:val="21"/>
              </w:rPr>
              <w:t>2</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3D8068C">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法人或者其他组织的营业执照、组织机构</w:t>
            </w:r>
          </w:p>
          <w:p w14:paraId="2727072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代码证和税务登记证（或多证合一证明） 等证明文件</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91B6645">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CD160CB">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09BDFAAD">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76820698">
            <w:pPr>
              <w:pStyle w:val="15"/>
              <w:rPr>
                <w:rFonts w:ascii="Times New Roman"/>
                <w:sz w:val="20"/>
              </w:rPr>
            </w:pPr>
          </w:p>
        </w:tc>
      </w:tr>
      <w:tr w14:paraId="40561E7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6"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51940928">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6F76704">
            <w:pPr>
              <w:pStyle w:val="15"/>
              <w:spacing w:before="140"/>
              <w:ind w:right="182"/>
              <w:jc w:val="right"/>
              <w:rPr>
                <w:rFonts w:hint="eastAsia" w:eastAsia="宋体"/>
                <w:sz w:val="21"/>
                <w:lang w:eastAsia="zh-CN"/>
              </w:rPr>
            </w:pPr>
            <w:r>
              <w:rPr>
                <w:rFonts w:hint="eastAsia"/>
                <w:sz w:val="21"/>
                <w:lang w:val="en-US" w:eastAsia="zh-CN"/>
              </w:rPr>
              <w:t>3</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43DBE59">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履行合同所必需的设备清单以及技术人员的名单材料</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9B49AC3">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23CD3A3">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2CB856C4">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5460C444">
            <w:pPr>
              <w:pStyle w:val="15"/>
              <w:rPr>
                <w:rFonts w:ascii="Times New Roman"/>
                <w:sz w:val="20"/>
              </w:rPr>
            </w:pPr>
          </w:p>
        </w:tc>
      </w:tr>
      <w:tr w14:paraId="730B181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5"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2227DF45">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93682C1">
            <w:pPr>
              <w:pStyle w:val="15"/>
              <w:spacing w:before="5"/>
              <w:rPr>
                <w:sz w:val="21"/>
              </w:rPr>
            </w:pPr>
          </w:p>
          <w:p w14:paraId="55AEA5D9">
            <w:pPr>
              <w:pStyle w:val="15"/>
              <w:ind w:right="182"/>
              <w:jc w:val="right"/>
              <w:rPr>
                <w:sz w:val="21"/>
              </w:rPr>
            </w:pPr>
            <w:r>
              <w:rPr>
                <w:rFonts w:hint="eastAsia"/>
                <w:sz w:val="21"/>
                <w:lang w:val="en-US" w:eastAsia="zh-CN"/>
              </w:rPr>
              <w:t>4</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2176037">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缴纳税收和社会保险的凭证。如依法免税或不需要缴纳社会保障资金的，应提供相</w:t>
            </w:r>
          </w:p>
          <w:p w14:paraId="40005888">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应文件证明</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082B364">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FA99630">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020AD941">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46E69D66">
            <w:pPr>
              <w:pStyle w:val="15"/>
              <w:rPr>
                <w:rFonts w:ascii="Times New Roman"/>
                <w:sz w:val="20"/>
              </w:rPr>
            </w:pPr>
          </w:p>
        </w:tc>
      </w:tr>
      <w:tr w14:paraId="14D3AC2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4"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17C353EC">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54B057D">
            <w:pPr>
              <w:pStyle w:val="15"/>
              <w:tabs>
                <w:tab w:val="center" w:pos="266"/>
                <w:tab w:val="right" w:pos="471"/>
              </w:tabs>
              <w:spacing w:before="140"/>
              <w:ind w:right="182"/>
              <w:jc w:val="left"/>
              <w:rPr>
                <w:sz w:val="21"/>
              </w:rPr>
            </w:pPr>
            <w:r>
              <w:rPr>
                <w:rFonts w:hint="eastAsia"/>
                <w:sz w:val="21"/>
                <w:lang w:eastAsia="zh-CN"/>
              </w:rPr>
              <w:tab/>
            </w:r>
            <w:r>
              <w:rPr>
                <w:rFonts w:hint="eastAsia"/>
                <w:sz w:val="21"/>
                <w:lang w:val="en-US" w:eastAsia="zh-CN"/>
              </w:rPr>
              <w:t>5</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C0B64D2">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参加政府采购活动前三年内在经营活动中</w:t>
            </w:r>
          </w:p>
          <w:p w14:paraId="257EB690">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没有重大违法记录的书面声明（格式自定）</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8BA8BA5">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B8183A6">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7F4A21E4">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21A8001F">
            <w:pPr>
              <w:pStyle w:val="15"/>
              <w:rPr>
                <w:rFonts w:ascii="Times New Roman"/>
                <w:sz w:val="20"/>
              </w:rPr>
            </w:pPr>
          </w:p>
        </w:tc>
      </w:tr>
      <w:tr w14:paraId="4028457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86"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392767FD">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7AF44CC">
            <w:pPr>
              <w:pStyle w:val="15"/>
              <w:rPr>
                <w:sz w:val="20"/>
              </w:rPr>
            </w:pPr>
          </w:p>
          <w:p w14:paraId="1534A38C">
            <w:pPr>
              <w:pStyle w:val="15"/>
              <w:rPr>
                <w:sz w:val="20"/>
              </w:rPr>
            </w:pPr>
          </w:p>
          <w:p w14:paraId="495F1573">
            <w:pPr>
              <w:pStyle w:val="15"/>
              <w:rPr>
                <w:sz w:val="20"/>
              </w:rPr>
            </w:pPr>
          </w:p>
          <w:p w14:paraId="1DB2156D">
            <w:pPr>
              <w:pStyle w:val="15"/>
              <w:spacing w:before="12"/>
              <w:rPr>
                <w:sz w:val="14"/>
              </w:rPr>
            </w:pPr>
          </w:p>
          <w:p w14:paraId="5AD6DD27">
            <w:pPr>
              <w:pStyle w:val="15"/>
              <w:ind w:right="182"/>
              <w:jc w:val="right"/>
              <w:rPr>
                <w:rFonts w:hint="eastAsia" w:eastAsia="宋体"/>
                <w:sz w:val="21"/>
                <w:lang w:eastAsia="zh-CN"/>
              </w:rPr>
            </w:pPr>
            <w:r>
              <w:rPr>
                <w:rFonts w:hint="eastAsia"/>
                <w:sz w:val="21"/>
                <w:lang w:val="en-US" w:eastAsia="zh-CN"/>
              </w:rPr>
              <w:t>6</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B02F87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负责人为同一人或者存在直接控股、管理关系的不同供应商，不得参加同一合同项下的政府采购活动。为采购项目提供整体设计、规范编制或者项目管理、监理、检测等服务的投标人及其附属机构，不得再参加本项目或所投包组投标。（提供《承诺函》）。</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0BA9DD1">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7988AC7">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572ECC97">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40268934">
            <w:pPr>
              <w:pStyle w:val="15"/>
              <w:rPr>
                <w:rFonts w:ascii="Times New Roman"/>
                <w:sz w:val="20"/>
              </w:rPr>
            </w:pPr>
          </w:p>
        </w:tc>
      </w:tr>
      <w:tr w14:paraId="2549E0A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366" w:type="dxa"/>
            <w:vMerge w:val="restart"/>
            <w:tcBorders>
              <w:top w:val="single" w:color="000000" w:sz="6" w:space="0"/>
              <w:bottom w:val="single" w:color="000000" w:sz="6" w:space="0"/>
              <w:right w:val="single" w:color="000000" w:sz="6" w:space="0"/>
            </w:tcBorders>
            <w:shd w:val="clear" w:color="auto" w:fill="auto"/>
            <w:noWrap w:val="0"/>
            <w:vAlign w:val="top"/>
          </w:tcPr>
          <w:p w14:paraId="1684D985">
            <w:pPr>
              <w:pStyle w:val="15"/>
              <w:spacing w:before="22" w:line="278" w:lineRule="auto"/>
              <w:ind w:left="107" w:right="196"/>
              <w:jc w:val="center"/>
              <w:rPr>
                <w:b/>
                <w:sz w:val="21"/>
              </w:rPr>
            </w:pPr>
            <w:r>
              <w:rPr>
                <w:b/>
                <w:sz w:val="21"/>
              </w:rPr>
              <w:t>符合性审</w:t>
            </w:r>
            <w:r>
              <w:rPr>
                <w:b/>
                <w:spacing w:val="-7"/>
                <w:sz w:val="21"/>
              </w:rPr>
              <w:t>查文件</w:t>
            </w:r>
            <w:r>
              <w:rPr>
                <w:b/>
                <w:sz w:val="21"/>
              </w:rPr>
              <w:t>（</w:t>
            </w:r>
            <w:r>
              <w:rPr>
                <w:b/>
                <w:spacing w:val="-16"/>
                <w:sz w:val="21"/>
              </w:rPr>
              <w:t>加</w:t>
            </w:r>
            <w:r>
              <w:rPr>
                <w:b/>
                <w:sz w:val="21"/>
              </w:rPr>
              <w:t>盖投标人</w:t>
            </w:r>
          </w:p>
          <w:p w14:paraId="5444FABA">
            <w:pPr>
              <w:pStyle w:val="15"/>
              <w:spacing w:line="269" w:lineRule="exact"/>
              <w:ind w:left="107" w:right="195"/>
              <w:jc w:val="center"/>
              <w:rPr>
                <w:b/>
                <w:sz w:val="21"/>
              </w:rPr>
            </w:pPr>
            <w:r>
              <w:rPr>
                <w:b/>
                <w:sz w:val="21"/>
              </w:rPr>
              <w:t>公章）</w:t>
            </w: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7B3C2A3">
            <w:pPr>
              <w:pStyle w:val="15"/>
              <w:spacing w:before="22"/>
              <w:ind w:right="182"/>
              <w:jc w:val="right"/>
              <w:rPr>
                <w:sz w:val="21"/>
              </w:rPr>
            </w:pPr>
            <w:r>
              <w:rPr>
                <w:sz w:val="21"/>
              </w:rPr>
              <w:t>1</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1095D7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投标函</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2274ED4">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8D73964">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1BCF274">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5F36775">
            <w:pPr>
              <w:pStyle w:val="15"/>
              <w:rPr>
                <w:rFonts w:ascii="Times New Roman"/>
                <w:sz w:val="20"/>
              </w:rPr>
            </w:pPr>
          </w:p>
        </w:tc>
      </w:tr>
      <w:tr w14:paraId="4303F99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02B3C5EE">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D7F8022">
            <w:pPr>
              <w:pStyle w:val="15"/>
              <w:spacing w:before="22"/>
              <w:ind w:right="182"/>
              <w:jc w:val="right"/>
              <w:rPr>
                <w:sz w:val="21"/>
              </w:rPr>
            </w:pPr>
            <w:r>
              <w:rPr>
                <w:sz w:val="21"/>
              </w:rPr>
              <w:t>2</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40ABFED">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法定代表人授权委托书</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79DB1FF">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2B59A59">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1BC02A53">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103C493">
            <w:pPr>
              <w:pStyle w:val="15"/>
              <w:rPr>
                <w:rFonts w:ascii="Times New Roman"/>
                <w:sz w:val="20"/>
              </w:rPr>
            </w:pPr>
          </w:p>
        </w:tc>
      </w:tr>
      <w:tr w14:paraId="110287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4"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14EE9830">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04A3B4B">
            <w:pPr>
              <w:pStyle w:val="15"/>
              <w:spacing w:before="164"/>
              <w:ind w:right="182"/>
              <w:jc w:val="right"/>
              <w:rPr>
                <w:sz w:val="21"/>
              </w:rPr>
            </w:pPr>
            <w:r>
              <w:rPr>
                <w:sz w:val="21"/>
              </w:rPr>
              <w:t>3</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A9817F0">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法定代表人证明书</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3CCF7C4">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060BE30">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3994E50B">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B3BAACF">
            <w:pPr>
              <w:pStyle w:val="15"/>
              <w:rPr>
                <w:rFonts w:ascii="Times New Roman"/>
                <w:sz w:val="20"/>
              </w:rPr>
            </w:pPr>
          </w:p>
        </w:tc>
      </w:tr>
      <w:tr w14:paraId="0CA279D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1366" w:type="dxa"/>
            <w:vMerge w:val="restart"/>
            <w:tcBorders>
              <w:top w:val="single" w:color="000000" w:sz="6" w:space="0"/>
              <w:bottom w:val="single" w:color="000000" w:sz="6" w:space="0"/>
              <w:right w:val="single" w:color="000000" w:sz="6" w:space="0"/>
            </w:tcBorders>
            <w:shd w:val="clear" w:color="auto" w:fill="auto"/>
            <w:noWrap w:val="0"/>
            <w:vAlign w:val="top"/>
          </w:tcPr>
          <w:p w14:paraId="792DB1D1">
            <w:pPr>
              <w:pStyle w:val="15"/>
              <w:spacing w:before="10"/>
              <w:rPr>
                <w:sz w:val="26"/>
              </w:rPr>
            </w:pPr>
          </w:p>
          <w:p w14:paraId="0619AE85">
            <w:pPr>
              <w:pStyle w:val="15"/>
              <w:spacing w:before="1"/>
              <w:ind w:left="203"/>
              <w:rPr>
                <w:b/>
                <w:sz w:val="21"/>
              </w:rPr>
            </w:pPr>
            <w:r>
              <w:rPr>
                <w:b/>
                <w:sz w:val="21"/>
              </w:rPr>
              <w:t>技术文件</w:t>
            </w:r>
          </w:p>
          <w:p w14:paraId="52205D5C">
            <w:pPr>
              <w:pStyle w:val="15"/>
              <w:spacing w:before="43" w:line="278" w:lineRule="auto"/>
              <w:ind w:left="107" w:right="177" w:firstLine="96"/>
              <w:rPr>
                <w:b/>
                <w:sz w:val="21"/>
              </w:rPr>
            </w:pPr>
            <w:r>
              <w:rPr>
                <w:b/>
                <w:sz w:val="21"/>
              </w:rPr>
              <w:t>（加盖投</w:t>
            </w:r>
            <w:r>
              <w:rPr>
                <w:b/>
                <w:spacing w:val="-1"/>
                <w:sz w:val="21"/>
              </w:rPr>
              <w:t>标人公章</w:t>
            </w:r>
            <w:r>
              <w:rPr>
                <w:b/>
                <w:spacing w:val="-16"/>
                <w:sz w:val="21"/>
              </w:rPr>
              <w:t>）</w:t>
            </w: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912AB3A">
            <w:pPr>
              <w:pStyle w:val="15"/>
              <w:spacing w:before="58"/>
              <w:ind w:right="182"/>
              <w:jc w:val="right"/>
              <w:rPr>
                <w:sz w:val="21"/>
              </w:rPr>
            </w:pPr>
            <w:r>
              <w:rPr>
                <w:sz w:val="21"/>
              </w:rPr>
              <w:t>1</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D3CE83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开标一览表(报价表)</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34554CD">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B18AA03">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55A2CF7C">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13987335">
            <w:pPr>
              <w:pStyle w:val="15"/>
              <w:rPr>
                <w:rFonts w:ascii="Times New Roman"/>
                <w:sz w:val="20"/>
              </w:rPr>
            </w:pPr>
          </w:p>
        </w:tc>
      </w:tr>
      <w:tr w14:paraId="68B4704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5B69C49B">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8CD5503">
            <w:pPr>
              <w:pStyle w:val="15"/>
              <w:spacing w:before="82"/>
              <w:ind w:right="182"/>
              <w:jc w:val="right"/>
              <w:rPr>
                <w:sz w:val="21"/>
              </w:rPr>
            </w:pPr>
            <w:r>
              <w:rPr>
                <w:sz w:val="21"/>
              </w:rPr>
              <w:t>2</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BCB88B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网站升级的性能指标及技术参数响应情况</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27373BC">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FCA386B">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1BA4555A">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735D88B4">
            <w:pPr>
              <w:pStyle w:val="15"/>
              <w:rPr>
                <w:rFonts w:ascii="Times New Roman"/>
                <w:sz w:val="20"/>
              </w:rPr>
            </w:pPr>
          </w:p>
        </w:tc>
      </w:tr>
      <w:tr w14:paraId="08650A6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6F3202DF">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BE5BA52">
            <w:pPr>
              <w:pStyle w:val="15"/>
              <w:spacing w:before="82"/>
              <w:ind w:right="182"/>
              <w:jc w:val="right"/>
              <w:rPr>
                <w:rFonts w:hint="default"/>
                <w:sz w:val="21"/>
              </w:rPr>
            </w:pPr>
            <w:r>
              <w:rPr>
                <w:rFonts w:hint="default"/>
                <w:sz w:val="21"/>
              </w:rPr>
              <w:t>3</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A5ED110">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提供方案设计图和</w:t>
            </w:r>
            <w:r>
              <w:rPr>
                <w:rFonts w:hint="eastAsia" w:cs="宋体"/>
                <w:sz w:val="21"/>
                <w:szCs w:val="21"/>
                <w:lang w:val="en-US" w:eastAsia="zh-CN"/>
              </w:rPr>
              <w:t>交互</w:t>
            </w:r>
            <w:r>
              <w:rPr>
                <w:rFonts w:hint="eastAsia" w:ascii="宋体" w:hAnsi="宋体" w:eastAsia="宋体" w:cs="宋体"/>
                <w:sz w:val="21"/>
                <w:szCs w:val="21"/>
                <w:lang w:val="en-US" w:eastAsia="zh-CN"/>
              </w:rPr>
              <w:t>DE</w:t>
            </w:r>
            <w:r>
              <w:rPr>
                <w:rFonts w:hint="eastAsia" w:ascii="宋体" w:hAnsi="宋体" w:eastAsia="宋体" w:cs="宋体"/>
                <w:sz w:val="21"/>
                <w:szCs w:val="21"/>
                <w:lang w:val="en-US" w:eastAsia="zh-Hans"/>
              </w:rPr>
              <w:t>M</w:t>
            </w:r>
            <w:r>
              <w:rPr>
                <w:rFonts w:hint="eastAsia" w:ascii="宋体" w:hAnsi="宋体" w:eastAsia="宋体" w:cs="宋体"/>
                <w:sz w:val="21"/>
                <w:szCs w:val="21"/>
                <w:lang w:val="en-US" w:eastAsia="zh-CN"/>
              </w:rPr>
              <w:t>O页面</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9849044">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28D2E3D">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58B65DA3">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226BBC49">
            <w:pPr>
              <w:pStyle w:val="15"/>
              <w:rPr>
                <w:rFonts w:ascii="Times New Roman"/>
                <w:sz w:val="20"/>
              </w:rPr>
            </w:pPr>
          </w:p>
        </w:tc>
      </w:tr>
      <w:tr w14:paraId="6731711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185BB901">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9ED53F2">
            <w:pPr>
              <w:pStyle w:val="15"/>
              <w:spacing w:before="82"/>
              <w:ind w:right="182"/>
              <w:jc w:val="right"/>
              <w:rPr>
                <w:rFonts w:hint="default"/>
                <w:sz w:val="21"/>
              </w:rPr>
            </w:pPr>
            <w:r>
              <w:rPr>
                <w:rFonts w:hint="default"/>
                <w:sz w:val="21"/>
              </w:rPr>
              <w:t>4</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F862B98">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总体方案</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925CB78">
            <w:pPr>
              <w:pStyle w:val="15"/>
              <w:spacing w:before="82"/>
              <w:ind w:left="115"/>
              <w:rPr>
                <w:rFonts w:hint="eastAsia" w:ascii="宋体" w:hAnsi="宋体" w:eastAsia="宋体" w:cs="宋体"/>
                <w:sz w:val="21"/>
                <w:szCs w:val="21"/>
                <w:lang w:val="en-US" w:eastAsia="zh-CN"/>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BE88E93">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01008B8">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000BF956">
            <w:pPr>
              <w:pStyle w:val="15"/>
              <w:rPr>
                <w:rFonts w:ascii="Times New Roman"/>
                <w:sz w:val="20"/>
              </w:rPr>
            </w:pPr>
          </w:p>
        </w:tc>
      </w:tr>
      <w:tr w14:paraId="5B49413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6FD0BA1E">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D0835B7">
            <w:pPr>
              <w:pStyle w:val="15"/>
              <w:spacing w:before="82"/>
              <w:ind w:right="182"/>
              <w:jc w:val="right"/>
              <w:rPr>
                <w:rFonts w:hint="default"/>
                <w:sz w:val="21"/>
              </w:rPr>
            </w:pPr>
            <w:r>
              <w:rPr>
                <w:rFonts w:hint="default"/>
                <w:sz w:val="21"/>
              </w:rPr>
              <w:t>5</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8D8274F">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Hans"/>
              </w:rPr>
              <w:t>英文网站建设能力</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D94E2C7">
            <w:pPr>
              <w:pStyle w:val="15"/>
              <w:spacing w:before="82"/>
              <w:ind w:left="115"/>
              <w:rPr>
                <w:rFonts w:hint="eastAsia" w:ascii="宋体" w:hAnsi="宋体" w:eastAsia="宋体" w:cs="宋体"/>
                <w:sz w:val="21"/>
                <w:szCs w:val="21"/>
                <w:lang w:val="en-US" w:eastAsia="zh-CN"/>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7554322">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0D854F8C">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3B2798C9">
            <w:pPr>
              <w:pStyle w:val="15"/>
              <w:rPr>
                <w:rFonts w:ascii="Times New Roman"/>
                <w:sz w:val="20"/>
              </w:rPr>
            </w:pPr>
          </w:p>
        </w:tc>
      </w:tr>
      <w:tr w14:paraId="262032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6054A86B">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8B094E3">
            <w:pPr>
              <w:pStyle w:val="15"/>
              <w:spacing w:before="82"/>
              <w:ind w:right="182"/>
              <w:jc w:val="right"/>
              <w:rPr>
                <w:rFonts w:hint="default"/>
                <w:sz w:val="21"/>
              </w:rPr>
            </w:pPr>
            <w:r>
              <w:rPr>
                <w:rFonts w:hint="default"/>
                <w:sz w:val="21"/>
              </w:rPr>
              <w:t>6</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CE7CB78">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技术培训支持</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CB80CF6">
            <w:pPr>
              <w:pStyle w:val="15"/>
              <w:spacing w:before="82"/>
              <w:ind w:left="115"/>
              <w:rPr>
                <w:rFonts w:hint="eastAsia" w:ascii="宋体" w:hAnsi="宋体" w:eastAsia="宋体" w:cs="宋体"/>
                <w:sz w:val="21"/>
                <w:szCs w:val="21"/>
                <w:lang w:val="en-US" w:eastAsia="zh-CN"/>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96B6FD4">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3EB20DED">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1C22348">
            <w:pPr>
              <w:pStyle w:val="15"/>
              <w:rPr>
                <w:rFonts w:ascii="Times New Roman"/>
                <w:sz w:val="20"/>
              </w:rPr>
            </w:pPr>
          </w:p>
        </w:tc>
      </w:tr>
      <w:tr w14:paraId="55F948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5CDC0055">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A66EA11">
            <w:pPr>
              <w:pStyle w:val="15"/>
              <w:spacing w:before="82"/>
              <w:ind w:right="182"/>
              <w:jc w:val="right"/>
              <w:rPr>
                <w:rFonts w:hint="default"/>
                <w:sz w:val="21"/>
              </w:rPr>
            </w:pPr>
            <w:r>
              <w:rPr>
                <w:rFonts w:hint="default"/>
                <w:sz w:val="21"/>
              </w:rPr>
              <w:t>7</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89B0534">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日常巡查方案</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24F7226">
            <w:pPr>
              <w:pStyle w:val="15"/>
              <w:spacing w:before="82"/>
              <w:ind w:left="115"/>
              <w:rPr>
                <w:rFonts w:hint="eastAsia" w:ascii="宋体" w:hAnsi="宋体" w:eastAsia="宋体" w:cs="宋体"/>
                <w:sz w:val="21"/>
                <w:szCs w:val="21"/>
                <w:lang w:val="en-US" w:eastAsia="zh-CN"/>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A3CA5E2">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097CA56F">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25B03457">
            <w:pPr>
              <w:pStyle w:val="15"/>
              <w:rPr>
                <w:rFonts w:ascii="Times New Roman"/>
                <w:sz w:val="20"/>
              </w:rPr>
            </w:pPr>
          </w:p>
        </w:tc>
      </w:tr>
      <w:tr w14:paraId="1EB389D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366" w:type="dxa"/>
            <w:vMerge w:val="continue"/>
            <w:tcBorders>
              <w:top w:val="nil"/>
              <w:bottom w:val="single" w:color="000000" w:sz="6" w:space="0"/>
              <w:right w:val="single" w:color="000000" w:sz="6" w:space="0"/>
            </w:tcBorders>
            <w:shd w:val="clear" w:color="auto" w:fill="auto"/>
            <w:noWrap w:val="0"/>
            <w:vAlign w:val="top"/>
          </w:tcPr>
          <w:p w14:paraId="3385E276">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C8019F6">
            <w:pPr>
              <w:pStyle w:val="15"/>
              <w:spacing w:before="22"/>
              <w:ind w:right="182"/>
              <w:jc w:val="right"/>
              <w:rPr>
                <w:rFonts w:hint="eastAsia" w:eastAsia="宋体"/>
                <w:sz w:val="21"/>
                <w:lang w:eastAsia="zh-CN"/>
              </w:rPr>
            </w:pPr>
            <w:r>
              <w:rPr>
                <w:rFonts w:hint="eastAsia"/>
                <w:sz w:val="21"/>
                <w:lang w:val="en-US" w:eastAsia="zh-CN"/>
              </w:rPr>
              <w:t>8</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EAF096B">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投标人认为需要提供的其它说明和资料</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0978901">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7EC2524">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5227CB5">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D6547DD">
            <w:pPr>
              <w:pStyle w:val="15"/>
              <w:rPr>
                <w:rFonts w:ascii="Times New Roman"/>
                <w:sz w:val="20"/>
              </w:rPr>
            </w:pPr>
          </w:p>
        </w:tc>
      </w:tr>
      <w:tr w14:paraId="7F43170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vMerge w:val="restart"/>
            <w:tcBorders>
              <w:top w:val="single" w:color="000000" w:sz="6" w:space="0"/>
              <w:right w:val="single" w:color="000000" w:sz="6" w:space="0"/>
            </w:tcBorders>
            <w:shd w:val="clear" w:color="auto" w:fill="auto"/>
            <w:noWrap w:val="0"/>
            <w:vAlign w:val="top"/>
          </w:tcPr>
          <w:p w14:paraId="1851B4ED">
            <w:pPr>
              <w:pStyle w:val="15"/>
              <w:rPr>
                <w:sz w:val="20"/>
              </w:rPr>
            </w:pPr>
          </w:p>
          <w:p w14:paraId="74D0F892">
            <w:pPr>
              <w:pStyle w:val="15"/>
              <w:spacing w:before="11"/>
              <w:rPr>
                <w:sz w:val="23"/>
              </w:rPr>
            </w:pPr>
          </w:p>
          <w:p w14:paraId="61FC1B75">
            <w:pPr>
              <w:pStyle w:val="15"/>
              <w:ind w:left="107" w:right="83"/>
              <w:jc w:val="center"/>
              <w:rPr>
                <w:b/>
                <w:sz w:val="21"/>
              </w:rPr>
            </w:pPr>
            <w:r>
              <w:rPr>
                <w:b/>
                <w:sz w:val="21"/>
              </w:rPr>
              <w:t>商务文件</w:t>
            </w:r>
          </w:p>
          <w:p w14:paraId="207D82AA">
            <w:pPr>
              <w:pStyle w:val="15"/>
              <w:spacing w:before="43" w:line="278" w:lineRule="auto"/>
              <w:ind w:left="155" w:right="129"/>
              <w:jc w:val="center"/>
              <w:rPr>
                <w:b/>
                <w:sz w:val="21"/>
              </w:rPr>
            </w:pPr>
            <w:r>
              <w:rPr>
                <w:b/>
                <w:sz w:val="21"/>
              </w:rPr>
              <w:t>（</w:t>
            </w:r>
            <w:r>
              <w:rPr>
                <w:b/>
                <w:spacing w:val="-5"/>
                <w:sz w:val="21"/>
              </w:rPr>
              <w:t>加盖投标</w:t>
            </w:r>
            <w:r>
              <w:rPr>
                <w:b/>
                <w:sz w:val="21"/>
              </w:rPr>
              <w:t>人公章）</w:t>
            </w: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144829E">
            <w:pPr>
              <w:pStyle w:val="15"/>
              <w:spacing w:before="34"/>
              <w:ind w:right="182"/>
              <w:jc w:val="right"/>
              <w:rPr>
                <w:sz w:val="21"/>
              </w:rPr>
            </w:pPr>
            <w:r>
              <w:rPr>
                <w:sz w:val="21"/>
              </w:rPr>
              <w:t>1</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63DC756">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投标人基本情况表</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29F2BB1">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B64A310">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306C44D3">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2310538">
            <w:pPr>
              <w:pStyle w:val="15"/>
              <w:rPr>
                <w:rFonts w:ascii="Times New Roman"/>
                <w:sz w:val="20"/>
              </w:rPr>
            </w:pPr>
          </w:p>
        </w:tc>
      </w:tr>
      <w:tr w14:paraId="5377ECC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7" w:hRule="atLeast"/>
        </w:trPr>
        <w:tc>
          <w:tcPr>
            <w:tcW w:w="1366" w:type="dxa"/>
            <w:vMerge w:val="continue"/>
            <w:tcBorders>
              <w:top w:val="nil"/>
              <w:right w:val="single" w:color="000000" w:sz="6" w:space="0"/>
            </w:tcBorders>
            <w:shd w:val="clear" w:color="auto" w:fill="auto"/>
            <w:noWrap w:val="0"/>
            <w:vAlign w:val="top"/>
          </w:tcPr>
          <w:p w14:paraId="68914606">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50313BE">
            <w:pPr>
              <w:pStyle w:val="15"/>
              <w:spacing w:before="27"/>
              <w:ind w:right="182"/>
              <w:jc w:val="right"/>
              <w:rPr>
                <w:sz w:val="21"/>
              </w:rPr>
            </w:pPr>
            <w:r>
              <w:rPr>
                <w:sz w:val="21"/>
              </w:rPr>
              <w:t>2</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1D1882C">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投标人综合服务支撑能力</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74BEBA2">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DA8A674">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32AEEFB">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1E5CDD8E">
            <w:pPr>
              <w:pStyle w:val="15"/>
              <w:rPr>
                <w:rFonts w:ascii="Times New Roman"/>
                <w:sz w:val="20"/>
              </w:rPr>
            </w:pPr>
          </w:p>
        </w:tc>
      </w:tr>
      <w:tr w14:paraId="3059017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1366" w:type="dxa"/>
            <w:vMerge w:val="continue"/>
            <w:tcBorders>
              <w:top w:val="nil"/>
              <w:right w:val="single" w:color="000000" w:sz="6" w:space="0"/>
            </w:tcBorders>
            <w:shd w:val="clear" w:color="auto" w:fill="auto"/>
            <w:noWrap w:val="0"/>
            <w:vAlign w:val="top"/>
          </w:tcPr>
          <w:p w14:paraId="566F18CB">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AE90F52">
            <w:pPr>
              <w:pStyle w:val="15"/>
              <w:spacing w:before="171"/>
              <w:ind w:right="182"/>
              <w:jc w:val="right"/>
              <w:rPr>
                <w:sz w:val="21"/>
              </w:rPr>
            </w:pPr>
            <w:r>
              <w:rPr>
                <w:sz w:val="21"/>
              </w:rPr>
              <w:t>3</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1286B18">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对非重大违法违规记录的扣分</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9734B80">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953D8B3">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1ADFFC1E">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132B111A">
            <w:pPr>
              <w:pStyle w:val="15"/>
              <w:rPr>
                <w:rFonts w:ascii="Times New Roman"/>
                <w:sz w:val="20"/>
              </w:rPr>
            </w:pPr>
          </w:p>
        </w:tc>
      </w:tr>
      <w:tr w14:paraId="4D7F77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7" w:hRule="atLeast"/>
        </w:trPr>
        <w:tc>
          <w:tcPr>
            <w:tcW w:w="1366" w:type="dxa"/>
            <w:vMerge w:val="continue"/>
            <w:tcBorders>
              <w:top w:val="nil"/>
              <w:right w:val="single" w:color="000000" w:sz="6" w:space="0"/>
            </w:tcBorders>
            <w:shd w:val="clear" w:color="auto" w:fill="auto"/>
            <w:noWrap w:val="0"/>
            <w:vAlign w:val="top"/>
          </w:tcPr>
          <w:p w14:paraId="4D34ABC5">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F642B13">
            <w:pPr>
              <w:pStyle w:val="15"/>
              <w:spacing w:before="27"/>
              <w:ind w:right="182"/>
              <w:jc w:val="right"/>
              <w:rPr>
                <w:sz w:val="21"/>
              </w:rPr>
            </w:pPr>
            <w:r>
              <w:rPr>
                <w:sz w:val="21"/>
              </w:rPr>
              <w:t>4</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9E12CED">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综合信用评价得分</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8D0AE81">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7125F50">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0FA1E026">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74F3F61A">
            <w:pPr>
              <w:pStyle w:val="15"/>
              <w:rPr>
                <w:rFonts w:ascii="Times New Roman"/>
                <w:sz w:val="20"/>
              </w:rPr>
            </w:pPr>
          </w:p>
        </w:tc>
      </w:tr>
      <w:tr w14:paraId="7E63C4E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7" w:hRule="atLeast"/>
        </w:trPr>
        <w:tc>
          <w:tcPr>
            <w:tcW w:w="1366" w:type="dxa"/>
            <w:vMerge w:val="continue"/>
            <w:tcBorders>
              <w:top w:val="nil"/>
              <w:right w:val="single" w:color="000000" w:sz="6" w:space="0"/>
            </w:tcBorders>
            <w:shd w:val="clear" w:color="auto" w:fill="auto"/>
            <w:noWrap w:val="0"/>
            <w:vAlign w:val="top"/>
          </w:tcPr>
          <w:p w14:paraId="51778FB8">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60A93C8">
            <w:pPr>
              <w:pStyle w:val="15"/>
              <w:spacing w:before="27"/>
              <w:ind w:right="182"/>
              <w:jc w:val="right"/>
              <w:rPr>
                <w:rFonts w:hint="default"/>
                <w:sz w:val="21"/>
              </w:rPr>
            </w:pPr>
            <w:r>
              <w:rPr>
                <w:rFonts w:hint="default"/>
                <w:sz w:val="21"/>
              </w:rPr>
              <w:t>5</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1F36941">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技术支持与售后</w:t>
            </w:r>
            <w:r>
              <w:rPr>
                <w:rFonts w:hint="eastAsia" w:ascii="宋体" w:hAnsi="宋体" w:eastAsia="宋体" w:cs="宋体"/>
                <w:sz w:val="21"/>
                <w:szCs w:val="21"/>
                <w:lang w:val="en-US" w:eastAsia="zh-Hans"/>
              </w:rPr>
              <w:t>服</w:t>
            </w:r>
            <w:r>
              <w:rPr>
                <w:rFonts w:hint="eastAsia" w:ascii="宋体" w:hAnsi="宋体" w:eastAsia="宋体" w:cs="宋体"/>
                <w:sz w:val="21"/>
                <w:szCs w:val="21"/>
                <w:lang w:val="en-US" w:eastAsia="zh-CN"/>
              </w:rPr>
              <w:t>务</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0072096">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FB472C2">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36F895D4">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310E0575">
            <w:pPr>
              <w:pStyle w:val="15"/>
              <w:rPr>
                <w:rFonts w:ascii="Times New Roman"/>
                <w:sz w:val="20"/>
              </w:rPr>
            </w:pPr>
          </w:p>
        </w:tc>
      </w:tr>
      <w:tr w14:paraId="4251D8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vMerge w:val="continue"/>
            <w:tcBorders>
              <w:top w:val="nil"/>
              <w:bottom w:val="nil"/>
              <w:right w:val="single" w:color="000000" w:sz="6" w:space="0"/>
            </w:tcBorders>
            <w:shd w:val="clear" w:color="auto" w:fill="auto"/>
            <w:noWrap w:val="0"/>
            <w:vAlign w:val="top"/>
          </w:tcPr>
          <w:p w14:paraId="41B0FAA0">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144BCB95">
            <w:pPr>
              <w:pStyle w:val="15"/>
              <w:spacing w:before="27"/>
              <w:ind w:right="182"/>
              <w:jc w:val="right"/>
              <w:rPr>
                <w:rFonts w:hint="default"/>
                <w:sz w:val="21"/>
              </w:rPr>
            </w:pPr>
            <w:r>
              <w:rPr>
                <w:rFonts w:hint="default"/>
                <w:sz w:val="21"/>
              </w:rPr>
              <w:t>6</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39C7ECC">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用户需求响应一览表</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7FEC13AA">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44AD767">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7A023BA">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0E5BD31B">
            <w:pPr>
              <w:pStyle w:val="15"/>
              <w:rPr>
                <w:rFonts w:ascii="Times New Roman"/>
                <w:sz w:val="20"/>
              </w:rPr>
            </w:pPr>
          </w:p>
        </w:tc>
      </w:tr>
      <w:tr w14:paraId="4B92750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tcBorders>
              <w:top w:val="nil"/>
              <w:bottom w:val="nil"/>
              <w:right w:val="single" w:color="000000" w:sz="6" w:space="0"/>
            </w:tcBorders>
            <w:shd w:val="clear" w:color="auto" w:fill="auto"/>
            <w:noWrap w:val="0"/>
            <w:vAlign w:val="top"/>
          </w:tcPr>
          <w:p w14:paraId="728B2880">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7942D65">
            <w:pPr>
              <w:pStyle w:val="15"/>
              <w:spacing w:before="34"/>
              <w:ind w:right="182" w:rightChars="0"/>
              <w:jc w:val="right"/>
              <w:rPr>
                <w:rFonts w:hint="default"/>
                <w:sz w:val="21"/>
              </w:rPr>
            </w:pPr>
            <w:r>
              <w:rPr>
                <w:rFonts w:hint="default"/>
                <w:sz w:val="21"/>
              </w:rPr>
              <w:t>7</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65476D9">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合同条款响应一览表</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D913380">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B2A12D1">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25B75422">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6FAF1654">
            <w:pPr>
              <w:pStyle w:val="15"/>
              <w:rPr>
                <w:rFonts w:ascii="Times New Roman"/>
                <w:sz w:val="20"/>
              </w:rPr>
            </w:pPr>
          </w:p>
        </w:tc>
      </w:tr>
      <w:tr w14:paraId="3CCE850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tcBorders>
              <w:top w:val="nil"/>
              <w:bottom w:val="nil"/>
              <w:right w:val="single" w:color="000000" w:sz="6" w:space="0"/>
            </w:tcBorders>
            <w:shd w:val="clear" w:color="auto" w:fill="auto"/>
            <w:noWrap w:val="0"/>
            <w:vAlign w:val="top"/>
          </w:tcPr>
          <w:p w14:paraId="78DC091F">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B0FFEA8">
            <w:pPr>
              <w:pStyle w:val="15"/>
              <w:spacing w:before="27"/>
              <w:ind w:right="182" w:rightChars="0"/>
              <w:jc w:val="right"/>
              <w:rPr>
                <w:rFonts w:hint="default"/>
                <w:sz w:val="21"/>
              </w:rPr>
            </w:pPr>
            <w:r>
              <w:rPr>
                <w:rFonts w:hint="default"/>
                <w:sz w:val="21"/>
              </w:rPr>
              <w:t>8</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2580BD2">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中小企业声明函（如是）</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750F84B">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ECEA966">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A69DC3A">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28902F2F">
            <w:pPr>
              <w:pStyle w:val="15"/>
              <w:rPr>
                <w:rFonts w:ascii="Times New Roman"/>
                <w:sz w:val="20"/>
              </w:rPr>
            </w:pPr>
          </w:p>
        </w:tc>
      </w:tr>
      <w:tr w14:paraId="439A0B1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tcBorders>
              <w:top w:val="nil"/>
              <w:bottom w:val="nil"/>
              <w:right w:val="single" w:color="000000" w:sz="6" w:space="0"/>
            </w:tcBorders>
            <w:shd w:val="clear" w:color="auto" w:fill="auto"/>
            <w:noWrap w:val="0"/>
            <w:vAlign w:val="top"/>
          </w:tcPr>
          <w:p w14:paraId="49DCED36">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EA908BC">
            <w:pPr>
              <w:pStyle w:val="15"/>
              <w:spacing w:before="27"/>
              <w:ind w:right="182" w:rightChars="0"/>
              <w:jc w:val="right"/>
              <w:rPr>
                <w:rFonts w:hint="default"/>
                <w:sz w:val="21"/>
              </w:rPr>
            </w:pPr>
            <w:r>
              <w:rPr>
                <w:rFonts w:hint="default"/>
                <w:sz w:val="21"/>
              </w:rPr>
              <w:t>9</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7C6068F">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残疾人福利性单位声明函（如是）</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38DC792">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4C32564">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1EA0A08D">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0320FA5F">
            <w:pPr>
              <w:pStyle w:val="15"/>
              <w:rPr>
                <w:rFonts w:ascii="Times New Roman"/>
                <w:sz w:val="20"/>
              </w:rPr>
            </w:pPr>
          </w:p>
        </w:tc>
      </w:tr>
      <w:tr w14:paraId="714E6B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tcBorders>
              <w:top w:val="nil"/>
              <w:bottom w:val="nil"/>
              <w:right w:val="single" w:color="000000" w:sz="6" w:space="0"/>
            </w:tcBorders>
            <w:shd w:val="clear" w:color="auto" w:fill="auto"/>
            <w:noWrap w:val="0"/>
            <w:vAlign w:val="top"/>
          </w:tcPr>
          <w:p w14:paraId="29823F85">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2D9D2AE0">
            <w:pPr>
              <w:pStyle w:val="15"/>
              <w:spacing w:before="27"/>
              <w:ind w:right="182" w:rightChars="0"/>
              <w:jc w:val="right"/>
              <w:rPr>
                <w:rFonts w:hint="default"/>
                <w:sz w:val="21"/>
              </w:rPr>
            </w:pPr>
            <w:r>
              <w:rPr>
                <w:rFonts w:hint="default"/>
                <w:sz w:val="21"/>
              </w:rPr>
              <w:t>10</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03795B0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节能产品、环境标志产品一览表（如有）</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6BF3FC4">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FB66A22">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40563D4B">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510D3B7F">
            <w:pPr>
              <w:pStyle w:val="15"/>
              <w:rPr>
                <w:rFonts w:ascii="Times New Roman"/>
                <w:sz w:val="20"/>
              </w:rPr>
            </w:pPr>
          </w:p>
        </w:tc>
      </w:tr>
      <w:tr w14:paraId="46F2853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tcBorders>
              <w:top w:val="nil"/>
              <w:bottom w:val="nil"/>
              <w:right w:val="single" w:color="000000" w:sz="6" w:space="0"/>
            </w:tcBorders>
            <w:shd w:val="clear" w:color="auto" w:fill="auto"/>
            <w:noWrap w:val="0"/>
            <w:vAlign w:val="top"/>
          </w:tcPr>
          <w:p w14:paraId="5B774E8E">
            <w:pPr>
              <w:rPr>
                <w:sz w:val="2"/>
                <w:szCs w:val="2"/>
              </w:rPr>
            </w:pPr>
          </w:p>
        </w:tc>
        <w:tc>
          <w:tcPr>
            <w:tcW w:w="54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47D94098">
            <w:pPr>
              <w:pStyle w:val="15"/>
              <w:spacing w:before="27"/>
              <w:ind w:right="129" w:rightChars="0"/>
              <w:jc w:val="right"/>
              <w:rPr>
                <w:rFonts w:hint="default"/>
                <w:sz w:val="21"/>
              </w:rPr>
            </w:pPr>
            <w:r>
              <w:rPr>
                <w:sz w:val="21"/>
              </w:rPr>
              <w:t>1</w:t>
            </w:r>
            <w:r>
              <w:rPr>
                <w:rFonts w:hint="default"/>
                <w:sz w:val="21"/>
              </w:rPr>
              <w:t>1</w:t>
            </w:r>
          </w:p>
        </w:tc>
        <w:tc>
          <w:tcPr>
            <w:tcW w:w="405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39BBDD2A">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招标代理服务费承诺书</w:t>
            </w:r>
          </w:p>
        </w:tc>
        <w:tc>
          <w:tcPr>
            <w:tcW w:w="535"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54902574">
            <w:pPr>
              <w:pStyle w:val="15"/>
              <w:rPr>
                <w:rFonts w:ascii="Times New Roman"/>
                <w:sz w:val="20"/>
              </w:rPr>
            </w:pPr>
          </w:p>
        </w:tc>
        <w:tc>
          <w:tcPr>
            <w:tcW w:w="487" w:type="dxa"/>
            <w:tcBorders>
              <w:top w:val="single" w:color="000000" w:sz="6" w:space="0"/>
              <w:left w:val="single" w:color="000000" w:sz="6" w:space="0"/>
              <w:bottom w:val="single" w:color="000000" w:sz="6" w:space="0"/>
              <w:right w:val="single" w:color="000000" w:sz="6" w:space="0"/>
            </w:tcBorders>
            <w:shd w:val="clear" w:color="auto" w:fill="auto"/>
            <w:noWrap w:val="0"/>
            <w:vAlign w:val="top"/>
          </w:tcPr>
          <w:p w14:paraId="6ABC5FBA">
            <w:pPr>
              <w:pStyle w:val="15"/>
              <w:rPr>
                <w:rFonts w:ascii="Times New Roman"/>
                <w:sz w:val="20"/>
              </w:rPr>
            </w:pPr>
          </w:p>
        </w:tc>
        <w:tc>
          <w:tcPr>
            <w:tcW w:w="725" w:type="dxa"/>
            <w:tcBorders>
              <w:top w:val="single" w:color="000000" w:sz="6" w:space="0"/>
              <w:left w:val="single" w:color="000000" w:sz="6" w:space="0"/>
              <w:bottom w:val="single" w:color="000000" w:sz="6" w:space="0"/>
              <w:right w:val="single" w:color="000000" w:sz="6" w:space="0"/>
            </w:tcBorders>
            <w:shd w:val="clear" w:color="auto" w:fill="EDEBE0"/>
            <w:noWrap w:val="0"/>
            <w:vAlign w:val="top"/>
          </w:tcPr>
          <w:p w14:paraId="621BB811">
            <w:pPr>
              <w:pStyle w:val="15"/>
              <w:rPr>
                <w:rFonts w:ascii="Times New Roman"/>
                <w:sz w:val="20"/>
              </w:rPr>
            </w:pPr>
          </w:p>
        </w:tc>
        <w:tc>
          <w:tcPr>
            <w:tcW w:w="728" w:type="dxa"/>
            <w:tcBorders>
              <w:top w:val="single" w:color="000000" w:sz="6" w:space="0"/>
              <w:left w:val="single" w:color="000000" w:sz="6" w:space="0"/>
              <w:bottom w:val="single" w:color="000000" w:sz="6" w:space="0"/>
            </w:tcBorders>
            <w:shd w:val="clear" w:color="auto" w:fill="EDEBE0"/>
            <w:noWrap w:val="0"/>
            <w:vAlign w:val="top"/>
          </w:tcPr>
          <w:p w14:paraId="109C372C">
            <w:pPr>
              <w:pStyle w:val="15"/>
              <w:rPr>
                <w:rFonts w:ascii="Times New Roman"/>
                <w:sz w:val="20"/>
              </w:rPr>
            </w:pPr>
          </w:p>
        </w:tc>
      </w:tr>
      <w:tr w14:paraId="715735A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trPr>
        <w:tc>
          <w:tcPr>
            <w:tcW w:w="1366" w:type="dxa"/>
            <w:tcBorders>
              <w:top w:val="nil"/>
              <w:right w:val="single" w:color="000000" w:sz="6" w:space="0"/>
            </w:tcBorders>
            <w:shd w:val="clear" w:color="auto" w:fill="auto"/>
            <w:noWrap w:val="0"/>
            <w:vAlign w:val="top"/>
          </w:tcPr>
          <w:p w14:paraId="2A357629">
            <w:pPr>
              <w:rPr>
                <w:sz w:val="2"/>
                <w:szCs w:val="2"/>
              </w:rPr>
            </w:pPr>
          </w:p>
        </w:tc>
        <w:tc>
          <w:tcPr>
            <w:tcW w:w="547" w:type="dxa"/>
            <w:tcBorders>
              <w:top w:val="single" w:color="000000" w:sz="6" w:space="0"/>
              <w:left w:val="single" w:color="000000" w:sz="6" w:space="0"/>
              <w:right w:val="single" w:color="000000" w:sz="6" w:space="0"/>
            </w:tcBorders>
            <w:shd w:val="clear" w:color="auto" w:fill="auto"/>
            <w:noWrap w:val="0"/>
            <w:vAlign w:val="top"/>
          </w:tcPr>
          <w:p w14:paraId="51F9B8EF">
            <w:pPr>
              <w:pStyle w:val="15"/>
              <w:spacing w:before="27"/>
              <w:ind w:right="129" w:rightChars="0"/>
              <w:jc w:val="right"/>
              <w:rPr>
                <w:rFonts w:hint="default"/>
                <w:sz w:val="21"/>
              </w:rPr>
            </w:pPr>
            <w:r>
              <w:rPr>
                <w:sz w:val="21"/>
              </w:rPr>
              <w:t>1</w:t>
            </w:r>
            <w:r>
              <w:rPr>
                <w:rFonts w:hint="default"/>
                <w:sz w:val="21"/>
              </w:rPr>
              <w:t>2</w:t>
            </w:r>
          </w:p>
        </w:tc>
        <w:tc>
          <w:tcPr>
            <w:tcW w:w="4057" w:type="dxa"/>
            <w:tcBorders>
              <w:top w:val="single" w:color="000000" w:sz="6" w:space="0"/>
              <w:left w:val="single" w:color="000000" w:sz="6" w:space="0"/>
              <w:right w:val="single" w:color="000000" w:sz="6" w:space="0"/>
            </w:tcBorders>
            <w:shd w:val="clear" w:color="auto" w:fill="auto"/>
            <w:noWrap w:val="0"/>
            <w:vAlign w:val="top"/>
          </w:tcPr>
          <w:p w14:paraId="1DDD5F84">
            <w:pPr>
              <w:pStyle w:val="15"/>
              <w:spacing w:before="82"/>
              <w:ind w:left="11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投标人认为需要提供的其他商务资料</w:t>
            </w:r>
          </w:p>
        </w:tc>
        <w:tc>
          <w:tcPr>
            <w:tcW w:w="535" w:type="dxa"/>
            <w:tcBorders>
              <w:top w:val="single" w:color="000000" w:sz="6" w:space="0"/>
              <w:left w:val="single" w:color="000000" w:sz="6" w:space="0"/>
              <w:right w:val="single" w:color="000000" w:sz="6" w:space="0"/>
            </w:tcBorders>
            <w:shd w:val="clear" w:color="auto" w:fill="auto"/>
            <w:noWrap w:val="0"/>
            <w:vAlign w:val="top"/>
          </w:tcPr>
          <w:p w14:paraId="37FA7CCF">
            <w:pPr>
              <w:pStyle w:val="15"/>
              <w:rPr>
                <w:rFonts w:ascii="Times New Roman"/>
                <w:sz w:val="20"/>
              </w:rPr>
            </w:pPr>
          </w:p>
        </w:tc>
        <w:tc>
          <w:tcPr>
            <w:tcW w:w="487" w:type="dxa"/>
            <w:tcBorders>
              <w:top w:val="single" w:color="000000" w:sz="6" w:space="0"/>
              <w:left w:val="single" w:color="000000" w:sz="6" w:space="0"/>
              <w:right w:val="single" w:color="000000" w:sz="6" w:space="0"/>
            </w:tcBorders>
            <w:shd w:val="clear" w:color="auto" w:fill="auto"/>
            <w:noWrap w:val="0"/>
            <w:vAlign w:val="top"/>
          </w:tcPr>
          <w:p w14:paraId="6C124DD0">
            <w:pPr>
              <w:pStyle w:val="15"/>
              <w:rPr>
                <w:rFonts w:ascii="Times New Roman"/>
                <w:sz w:val="20"/>
              </w:rPr>
            </w:pPr>
          </w:p>
        </w:tc>
        <w:tc>
          <w:tcPr>
            <w:tcW w:w="725" w:type="dxa"/>
            <w:tcBorders>
              <w:top w:val="single" w:color="000000" w:sz="6" w:space="0"/>
              <w:left w:val="single" w:color="000000" w:sz="6" w:space="0"/>
              <w:right w:val="single" w:color="000000" w:sz="6" w:space="0"/>
            </w:tcBorders>
            <w:shd w:val="clear" w:color="auto" w:fill="EDEBE0"/>
            <w:noWrap w:val="0"/>
            <w:vAlign w:val="top"/>
          </w:tcPr>
          <w:p w14:paraId="10CFF37A">
            <w:pPr>
              <w:pStyle w:val="15"/>
              <w:rPr>
                <w:rFonts w:ascii="Times New Roman"/>
                <w:sz w:val="20"/>
              </w:rPr>
            </w:pPr>
          </w:p>
        </w:tc>
        <w:tc>
          <w:tcPr>
            <w:tcW w:w="728" w:type="dxa"/>
            <w:tcBorders>
              <w:top w:val="single" w:color="000000" w:sz="6" w:space="0"/>
              <w:left w:val="single" w:color="000000" w:sz="6" w:space="0"/>
            </w:tcBorders>
            <w:shd w:val="clear" w:color="auto" w:fill="EDEBE0"/>
            <w:noWrap w:val="0"/>
            <w:vAlign w:val="top"/>
          </w:tcPr>
          <w:p w14:paraId="36F4618E">
            <w:pPr>
              <w:pStyle w:val="15"/>
              <w:rPr>
                <w:rFonts w:ascii="Times New Roman"/>
                <w:sz w:val="20"/>
              </w:rPr>
            </w:pPr>
          </w:p>
        </w:tc>
      </w:tr>
    </w:tbl>
    <w:p w14:paraId="4C4CFD9C">
      <w:pPr>
        <w:rPr>
          <w:rFonts w:ascii="Times New Roman"/>
          <w:sz w:val="20"/>
        </w:rPr>
      </w:pPr>
    </w:p>
    <w:p w14:paraId="069DF53B">
      <w:pPr>
        <w:pStyle w:val="2"/>
        <w:rPr>
          <w:rFonts w:ascii="Times New Roman"/>
          <w:sz w:val="20"/>
        </w:rPr>
      </w:pPr>
    </w:p>
    <w:p w14:paraId="018DB8B7">
      <w:pPr>
        <w:pStyle w:val="2"/>
        <w:rPr>
          <w:rFonts w:ascii="Times New Roman"/>
          <w:sz w:val="20"/>
        </w:rPr>
      </w:pPr>
    </w:p>
    <w:p w14:paraId="08604804">
      <w:pPr>
        <w:pStyle w:val="2"/>
        <w:rPr>
          <w:rFonts w:ascii="Times New Roman"/>
          <w:sz w:val="20"/>
        </w:rPr>
        <w:sectPr>
          <w:pgSz w:w="11910" w:h="16840"/>
          <w:pgMar w:top="1360" w:right="1340" w:bottom="1420" w:left="1020" w:header="877" w:footer="1216" w:gutter="0"/>
          <w:pgNumType w:fmt="decimal"/>
          <w:cols w:space="720" w:num="1"/>
        </w:sectPr>
      </w:pPr>
    </w:p>
    <w:p w14:paraId="3D44B370">
      <w:pPr>
        <w:spacing w:before="133"/>
        <w:ind w:left="398"/>
        <w:rPr>
          <w:b/>
          <w:sz w:val="28"/>
        </w:rPr>
      </w:pPr>
      <w:r>
        <w:rPr>
          <w:b/>
          <w:sz w:val="28"/>
        </w:rPr>
        <w:t>格式1</w:t>
      </w:r>
    </w:p>
    <w:p w14:paraId="39D26430">
      <w:pPr>
        <w:pStyle w:val="5"/>
        <w:rPr>
          <w:b/>
          <w:sz w:val="32"/>
        </w:rPr>
      </w:pPr>
      <w:r>
        <w:br w:type="column"/>
      </w:r>
    </w:p>
    <w:p w14:paraId="60454E86">
      <w:pPr>
        <w:spacing w:before="214"/>
        <w:ind w:left="398"/>
        <w:rPr>
          <w:b/>
          <w:sz w:val="32"/>
        </w:rPr>
      </w:pPr>
      <w:r>
        <w:rPr>
          <w:b/>
          <w:sz w:val="32"/>
        </w:rPr>
        <w:t>投标人资格声明函</w:t>
      </w:r>
    </w:p>
    <w:p w14:paraId="2221118A">
      <w:pPr>
        <w:rPr>
          <w:sz w:val="32"/>
        </w:rPr>
        <w:sectPr>
          <w:pgSz w:w="11910" w:h="16840"/>
          <w:pgMar w:top="1360" w:right="1340" w:bottom="1420" w:left="1020" w:header="567" w:footer="1216" w:gutter="0"/>
          <w:pgNumType w:fmt="decimal"/>
          <w:cols w:equalWidth="0" w:num="2">
            <w:col w:w="1141" w:space="1917"/>
            <w:col w:w="6492"/>
          </w:cols>
        </w:sectPr>
      </w:pPr>
    </w:p>
    <w:p w14:paraId="76D5D042">
      <w:pPr>
        <w:pStyle w:val="5"/>
        <w:rPr>
          <w:b/>
          <w:sz w:val="27"/>
        </w:rPr>
      </w:pPr>
    </w:p>
    <w:p w14:paraId="4A6FD813">
      <w:pPr>
        <w:spacing w:before="71"/>
        <w:ind w:left="398"/>
        <w:rPr>
          <w:b/>
          <w:sz w:val="21"/>
        </w:rPr>
      </w:pPr>
      <w:r>
        <w:rPr>
          <w:rFonts w:hint="eastAsia"/>
          <w:b/>
          <w:sz w:val="21"/>
          <w:lang w:eastAsia="zh-CN"/>
        </w:rPr>
        <w:t>广州医科大学附属妇女儿童医疗中心</w:t>
      </w:r>
      <w:r>
        <w:rPr>
          <w:b/>
          <w:sz w:val="21"/>
        </w:rPr>
        <w:t>：</w:t>
      </w:r>
    </w:p>
    <w:p w14:paraId="68346114">
      <w:pPr>
        <w:pStyle w:val="5"/>
        <w:spacing w:before="7"/>
        <w:rPr>
          <w:b/>
          <w:sz w:val="15"/>
        </w:rPr>
      </w:pPr>
    </w:p>
    <w:p w14:paraId="7E1B03A4">
      <w:pPr>
        <w:spacing w:line="360" w:lineRule="auto"/>
        <w:ind w:firstLine="440" w:firstLineChars="200"/>
      </w:pPr>
      <w:r>
        <w:t>关于</w:t>
      </w:r>
      <w:r>
        <w:rPr>
          <w:spacing w:val="0"/>
        </w:rPr>
        <w:t>贵中心</w:t>
      </w:r>
      <w:r>
        <w:rPr>
          <w:spacing w:val="0"/>
          <w:u w:val="none"/>
        </w:rPr>
        <w:t xml:space="preserve"> </w:t>
      </w:r>
      <w:r>
        <w:rPr>
          <w:spacing w:val="0"/>
          <w:u w:val="none"/>
        </w:rPr>
        <w:tab/>
      </w:r>
      <w:r>
        <w:rPr>
          <w:spacing w:val="0"/>
        </w:rPr>
        <w:t>年</w:t>
      </w:r>
      <w:r>
        <w:rPr>
          <w:spacing w:val="0"/>
          <w:u w:val="none"/>
        </w:rPr>
        <w:t xml:space="preserve"> </w:t>
      </w:r>
      <w:r>
        <w:rPr>
          <w:spacing w:val="0"/>
          <w:u w:val="none"/>
        </w:rPr>
        <w:tab/>
      </w:r>
      <w:r>
        <w:t>月</w:t>
      </w:r>
      <w:r>
        <w:rPr>
          <w:u w:val="none"/>
        </w:rPr>
        <w:t xml:space="preserve"> </w:t>
      </w:r>
      <w:r>
        <w:rPr>
          <w:u w:val="none"/>
        </w:rPr>
        <w:tab/>
      </w:r>
      <w:r>
        <w:t>日</w:t>
      </w:r>
      <w:r>
        <w:rPr>
          <w:spacing w:val="0"/>
        </w:rPr>
        <w:t>发</w:t>
      </w:r>
      <w:r>
        <w:t>布</w:t>
      </w:r>
      <w:r>
        <w:rPr>
          <w:spacing w:val="0"/>
        </w:rPr>
        <w:t xml:space="preserve"> </w:t>
      </w:r>
      <w:r>
        <w:rPr>
          <w:rFonts w:hint="eastAsia"/>
          <w:spacing w:val="0"/>
        </w:rPr>
        <w:t>2024年广州医科大学附属妇女儿童医疗中心官网升级改版项目</w:t>
      </w:r>
      <w:r>
        <w:rPr>
          <w:spacing w:val="0"/>
        </w:rPr>
        <w:t>的采购公告，本公司</w:t>
      </w:r>
      <w:r>
        <w:t>（</w:t>
      </w:r>
      <w:r>
        <w:rPr>
          <w:spacing w:val="0"/>
        </w:rPr>
        <w:t>企业）愿意参加投标，并声明： 本公司（企业）具备《中华人民共和国政府采购法》第二十二条资格条件，并已清楚招标文件的要求及有关文件规定，并承诺在本次招标采购活动中，如有违法、违规、弄虚作假行为，所造成的损失、不良后果及法律责任，一律由我公司</w:t>
      </w:r>
      <w:r>
        <w:t>（</w:t>
      </w:r>
      <w:r>
        <w:rPr>
          <w:spacing w:val="0"/>
        </w:rPr>
        <w:t>企业</w:t>
      </w:r>
      <w:r>
        <w:t>）</w:t>
      </w:r>
      <w:r>
        <w:rPr>
          <w:spacing w:val="0"/>
        </w:rPr>
        <w:t>承担。</w:t>
      </w:r>
    </w:p>
    <w:p w14:paraId="316C43AA">
      <w:pPr>
        <w:pStyle w:val="5"/>
        <w:rPr>
          <w:sz w:val="20"/>
        </w:rPr>
      </w:pPr>
    </w:p>
    <w:p w14:paraId="2757CEB2">
      <w:pPr>
        <w:pStyle w:val="5"/>
        <w:rPr>
          <w:sz w:val="20"/>
        </w:rPr>
      </w:pPr>
    </w:p>
    <w:p w14:paraId="7201BCC1">
      <w:pPr>
        <w:pStyle w:val="5"/>
        <w:rPr>
          <w:sz w:val="20"/>
        </w:rPr>
      </w:pPr>
    </w:p>
    <w:p w14:paraId="608DAB33">
      <w:pPr>
        <w:pStyle w:val="5"/>
        <w:spacing w:before="167"/>
        <w:ind w:left="818"/>
      </w:pPr>
      <w:r>
        <w:t>特此声明！</w:t>
      </w:r>
    </w:p>
    <w:p w14:paraId="6C09B025">
      <w:pPr>
        <w:pStyle w:val="5"/>
        <w:rPr>
          <w:sz w:val="20"/>
        </w:rPr>
      </w:pPr>
    </w:p>
    <w:p w14:paraId="375A7668">
      <w:pPr>
        <w:pStyle w:val="5"/>
        <w:rPr>
          <w:sz w:val="20"/>
        </w:rPr>
      </w:pPr>
    </w:p>
    <w:p w14:paraId="7872B052">
      <w:pPr>
        <w:pStyle w:val="5"/>
        <w:rPr>
          <w:sz w:val="20"/>
        </w:rPr>
      </w:pPr>
    </w:p>
    <w:p w14:paraId="3CD5AB50">
      <w:pPr>
        <w:pStyle w:val="5"/>
        <w:rPr>
          <w:sz w:val="20"/>
        </w:rPr>
      </w:pPr>
    </w:p>
    <w:p w14:paraId="2C8E6584">
      <w:pPr>
        <w:pStyle w:val="5"/>
        <w:tabs>
          <w:tab w:val="left" w:pos="3972"/>
        </w:tabs>
        <w:spacing w:before="167"/>
        <w:ind w:left="398"/>
      </w:pPr>
      <w:r>
        <w:t>单位</w:t>
      </w:r>
      <w:r>
        <w:rPr>
          <w:spacing w:val="-3"/>
        </w:rPr>
        <w:t>名</w:t>
      </w:r>
      <w:r>
        <w:t>称：</w:t>
      </w:r>
      <w:r>
        <w:tab/>
      </w:r>
      <w:r>
        <w:rPr>
          <w:spacing w:val="-3"/>
        </w:rPr>
        <w:t>法</w:t>
      </w:r>
      <w:r>
        <w:t>定</w:t>
      </w:r>
      <w:r>
        <w:rPr>
          <w:spacing w:val="-3"/>
        </w:rPr>
        <w:t>代</w:t>
      </w:r>
      <w:r>
        <w:t>表</w:t>
      </w:r>
      <w:r>
        <w:rPr>
          <w:spacing w:val="-3"/>
        </w:rPr>
        <w:t>人</w:t>
      </w:r>
      <w:r>
        <w:t>或投</w:t>
      </w:r>
      <w:r>
        <w:rPr>
          <w:spacing w:val="-3"/>
        </w:rPr>
        <w:t>标</w:t>
      </w:r>
      <w:r>
        <w:t>人</w:t>
      </w:r>
      <w:r>
        <w:rPr>
          <w:spacing w:val="-3"/>
        </w:rPr>
        <w:t>授</w:t>
      </w:r>
      <w:r>
        <w:t>权</w:t>
      </w:r>
      <w:r>
        <w:rPr>
          <w:spacing w:val="-3"/>
        </w:rPr>
        <w:t>代</w:t>
      </w:r>
      <w:r>
        <w:t>表</w:t>
      </w:r>
      <w:r>
        <w:rPr>
          <w:spacing w:val="-3"/>
        </w:rPr>
        <w:t>（</w:t>
      </w:r>
      <w:r>
        <w:t>签</w:t>
      </w:r>
      <w:r>
        <w:rPr>
          <w:spacing w:val="-3"/>
        </w:rPr>
        <w:t>名</w:t>
      </w:r>
      <w:r>
        <w:t>或盖</w:t>
      </w:r>
      <w:r>
        <w:rPr>
          <w:spacing w:val="-3"/>
        </w:rPr>
        <w:t>章</w:t>
      </w:r>
      <w:r>
        <w:t>）：</w:t>
      </w:r>
    </w:p>
    <w:p w14:paraId="5975F7DA">
      <w:pPr>
        <w:pStyle w:val="5"/>
        <w:spacing w:before="1"/>
        <w:rPr>
          <w:sz w:val="23"/>
        </w:rPr>
      </w:pPr>
    </w:p>
    <w:p w14:paraId="3586FF6B">
      <w:pPr>
        <w:pStyle w:val="5"/>
        <w:tabs>
          <w:tab w:val="left" w:pos="3972"/>
        </w:tabs>
        <w:ind w:left="398"/>
      </w:pPr>
      <w:r>
        <w:t>单位</w:t>
      </w:r>
      <w:r>
        <w:rPr>
          <w:spacing w:val="-3"/>
        </w:rPr>
        <w:t>地</w:t>
      </w:r>
      <w:r>
        <w:t>址：</w:t>
      </w:r>
      <w:r>
        <w:tab/>
      </w:r>
    </w:p>
    <w:p w14:paraId="41BE8AF4">
      <w:pPr>
        <w:pStyle w:val="5"/>
        <w:rPr>
          <w:sz w:val="23"/>
        </w:rPr>
      </w:pPr>
    </w:p>
    <w:p w14:paraId="42F6D8CA">
      <w:pPr>
        <w:pStyle w:val="5"/>
        <w:tabs>
          <w:tab w:val="left" w:pos="3972"/>
        </w:tabs>
        <w:ind w:left="398"/>
      </w:pPr>
      <w:r>
        <w:t>邮政</w:t>
      </w:r>
      <w:r>
        <w:rPr>
          <w:spacing w:val="-3"/>
        </w:rPr>
        <w:t>编</w:t>
      </w:r>
      <w:r>
        <w:t>码：</w:t>
      </w:r>
      <w:r>
        <w:tab/>
      </w:r>
      <w:r>
        <w:rPr>
          <w:spacing w:val="-3"/>
        </w:rPr>
        <w:t>日</w:t>
      </w:r>
      <w:r>
        <w:t>期：</w:t>
      </w:r>
    </w:p>
    <w:p w14:paraId="3DC82595">
      <w:pPr>
        <w:pStyle w:val="5"/>
        <w:spacing w:before="3"/>
        <w:rPr>
          <w:sz w:val="23"/>
        </w:rPr>
      </w:pPr>
    </w:p>
    <w:p w14:paraId="555FD21A">
      <w:pPr>
        <w:pStyle w:val="5"/>
        <w:ind w:left="398"/>
      </w:pPr>
      <w:r>
        <w:t>联系电话：</w:t>
      </w:r>
    </w:p>
    <w:p w14:paraId="3A60FC9F">
      <w:pPr>
        <w:sectPr>
          <w:type w:val="continuous"/>
          <w:pgSz w:w="11910" w:h="16840"/>
          <w:pgMar w:top="1580" w:right="1340" w:bottom="280" w:left="1020" w:header="720" w:footer="720" w:gutter="0"/>
          <w:pgNumType w:fmt="decimal"/>
          <w:cols w:space="720" w:num="1"/>
        </w:sectPr>
      </w:pPr>
    </w:p>
    <w:p w14:paraId="6A11F4FA">
      <w:pPr>
        <w:spacing w:before="133"/>
        <w:ind w:left="398"/>
        <w:rPr>
          <w:b/>
          <w:sz w:val="28"/>
        </w:rPr>
      </w:pPr>
      <w:r>
        <w:rPr>
          <w:b/>
          <w:sz w:val="28"/>
        </w:rPr>
        <w:t>格式2</w:t>
      </w:r>
    </w:p>
    <w:p w14:paraId="55EFB140">
      <w:pPr>
        <w:pStyle w:val="5"/>
        <w:rPr>
          <w:b/>
          <w:sz w:val="20"/>
        </w:rPr>
      </w:pPr>
    </w:p>
    <w:p w14:paraId="775CC514">
      <w:pPr>
        <w:spacing w:before="188"/>
        <w:ind w:left="842" w:right="899"/>
        <w:jc w:val="center"/>
        <w:rPr>
          <w:b/>
          <w:sz w:val="32"/>
        </w:rPr>
      </w:pPr>
      <w:r>
        <w:rPr>
          <w:b/>
          <w:sz w:val="32"/>
        </w:rPr>
        <w:t>承诺函</w:t>
      </w:r>
    </w:p>
    <w:p w14:paraId="5DD58BE9">
      <w:pPr>
        <w:pStyle w:val="5"/>
        <w:rPr>
          <w:b/>
        </w:rPr>
      </w:pPr>
    </w:p>
    <w:p w14:paraId="25ACCC6C">
      <w:pPr>
        <w:spacing w:before="71"/>
        <w:ind w:left="398"/>
        <w:rPr>
          <w:b/>
          <w:sz w:val="21"/>
        </w:rPr>
      </w:pPr>
      <w:r>
        <w:rPr>
          <w:rFonts w:hint="eastAsia"/>
          <w:b/>
          <w:sz w:val="21"/>
          <w:lang w:eastAsia="zh-CN"/>
        </w:rPr>
        <w:t>广州医科大学附属妇女儿童医疗中心</w:t>
      </w:r>
      <w:r>
        <w:rPr>
          <w:b/>
          <w:sz w:val="21"/>
        </w:rPr>
        <w:t>：</w:t>
      </w:r>
    </w:p>
    <w:p w14:paraId="6E2A5AD0">
      <w:pPr>
        <w:pStyle w:val="5"/>
        <w:tabs>
          <w:tab w:val="left" w:pos="1471"/>
          <w:tab w:val="left" w:pos="2102"/>
          <w:tab w:val="left" w:pos="2734"/>
        </w:tabs>
        <w:spacing w:before="178"/>
        <w:ind w:right="535" w:firstLine="420" w:firstLineChars="200"/>
        <w:jc w:val="both"/>
      </w:pPr>
      <w:r>
        <w:rPr>
          <w:rFonts w:hint="eastAsia"/>
          <w:lang w:val="en-US"/>
        </w:rPr>
        <w:t xml:space="preserve">     </w:t>
      </w:r>
      <w:r>
        <w:t>关于</w:t>
      </w:r>
      <w:r>
        <w:rPr>
          <w:spacing w:val="-3"/>
        </w:rPr>
        <w:t>贵中心</w:t>
      </w:r>
      <w:r>
        <w:rPr>
          <w:spacing w:val="-3"/>
          <w:u w:val="single"/>
        </w:rPr>
        <w:t xml:space="preserve"> </w:t>
      </w:r>
      <w:r>
        <w:rPr>
          <w:spacing w:val="-3"/>
          <w:u w:val="single"/>
        </w:rPr>
        <w:tab/>
      </w:r>
      <w:r>
        <w:rPr>
          <w:rFonts w:hint="eastAsia"/>
          <w:spacing w:val="-3"/>
          <w:u w:val="single"/>
          <w:lang w:val="en-US"/>
        </w:rPr>
        <w:t xml:space="preserve">  </w:t>
      </w:r>
      <w:r>
        <w:t>年</w:t>
      </w:r>
      <w:r>
        <w:rPr>
          <w:u w:val="single"/>
        </w:rPr>
        <w:t xml:space="preserve"> </w:t>
      </w:r>
      <w:r>
        <w:rPr>
          <w:u w:val="single"/>
        </w:rPr>
        <w:tab/>
      </w:r>
      <w:r>
        <w:rPr>
          <w:rFonts w:hint="eastAsia"/>
          <w:u w:val="single"/>
          <w:lang w:val="en-US"/>
        </w:rPr>
        <w:t xml:space="preserve">  </w:t>
      </w:r>
      <w:r>
        <w:rPr>
          <w:spacing w:val="-3"/>
        </w:rPr>
        <w:t>月</w:t>
      </w:r>
      <w:r>
        <w:rPr>
          <w:spacing w:val="-3"/>
          <w:u w:val="single"/>
        </w:rPr>
        <w:t xml:space="preserve"> </w:t>
      </w:r>
      <w:r>
        <w:rPr>
          <w:spacing w:val="-3"/>
          <w:u w:val="single"/>
        </w:rPr>
        <w:tab/>
      </w:r>
      <w:r>
        <w:rPr>
          <w:rFonts w:hint="eastAsia"/>
          <w:spacing w:val="-3"/>
          <w:u w:val="single"/>
          <w:lang w:val="en-US"/>
        </w:rPr>
        <w:t xml:space="preserve"> </w:t>
      </w:r>
      <w:r>
        <w:rPr>
          <w:spacing w:val="-3"/>
        </w:rPr>
        <w:t>日发</w:t>
      </w:r>
      <w:r>
        <w:t>布</w:t>
      </w:r>
      <w:r>
        <w:rPr>
          <w:spacing w:val="-42"/>
        </w:rPr>
        <w:t xml:space="preserve"> </w:t>
      </w:r>
      <w:r>
        <w:rPr>
          <w:spacing w:val="0"/>
        </w:rPr>
        <w:t xml:space="preserve"> </w:t>
      </w:r>
      <w:r>
        <w:rPr>
          <w:rFonts w:hint="eastAsia"/>
          <w:spacing w:val="0"/>
        </w:rPr>
        <w:t>2024年广州医科大学附属妇女儿童医疗中心官网升级改版项目</w:t>
      </w:r>
      <w:r>
        <w:t>的采购公告，本公司（企业）愿意参加投标，并承诺：</w:t>
      </w:r>
    </w:p>
    <w:p w14:paraId="77D3D4E6">
      <w:pPr>
        <w:pStyle w:val="5"/>
        <w:rPr>
          <w:sz w:val="23"/>
        </w:rPr>
      </w:pPr>
    </w:p>
    <w:p w14:paraId="51322AED">
      <w:pPr>
        <w:pStyle w:val="5"/>
        <w:spacing w:line="367" w:lineRule="auto"/>
        <w:ind w:left="398" w:right="543" w:firstLine="525"/>
      </w:pPr>
      <w:r>
        <w:t>本公司（企业）的法定代表人或单位负责人与本项目其他投标人的法定代表人或单位负责人不为同一人且与其他投标人之间不存在直接控股、管理关系。</w:t>
      </w:r>
    </w:p>
    <w:p w14:paraId="43417E99">
      <w:pPr>
        <w:pStyle w:val="5"/>
        <w:spacing w:before="152" w:line="364" w:lineRule="auto"/>
        <w:ind w:left="398" w:right="535" w:firstLine="525"/>
        <w:jc w:val="both"/>
      </w:pPr>
      <w:r>
        <w:t>根据《中华人民共和国政府采购法实施条例》的规定，本公司（企业）及附属机构，非为采购项目提供整体设计、规范编制或者项目管理、监理、检测等服务的供应商。否则，由此所造成的损失、不良后果及法律责任，一律由我公司（企业）承担。</w:t>
      </w:r>
    </w:p>
    <w:p w14:paraId="0762AA01">
      <w:pPr>
        <w:pStyle w:val="5"/>
        <w:rPr>
          <w:sz w:val="20"/>
        </w:rPr>
      </w:pPr>
    </w:p>
    <w:p w14:paraId="61B81E3D">
      <w:pPr>
        <w:pStyle w:val="5"/>
        <w:spacing w:before="3"/>
        <w:rPr>
          <w:sz w:val="16"/>
        </w:rPr>
      </w:pPr>
    </w:p>
    <w:p w14:paraId="4C488C04">
      <w:pPr>
        <w:pStyle w:val="5"/>
        <w:tabs>
          <w:tab w:val="left" w:pos="4392"/>
        </w:tabs>
        <w:ind w:left="818"/>
      </w:pPr>
      <w:r>
        <w:t>单位</w:t>
      </w:r>
      <w:r>
        <w:rPr>
          <w:spacing w:val="-3"/>
        </w:rPr>
        <w:t>名</w:t>
      </w:r>
      <w:r>
        <w:t>称：</w:t>
      </w:r>
      <w:r>
        <w:tab/>
      </w:r>
      <w:r>
        <w:rPr>
          <w:spacing w:val="-3"/>
        </w:rPr>
        <w:t>法</w:t>
      </w:r>
      <w:r>
        <w:t>定</w:t>
      </w:r>
      <w:r>
        <w:rPr>
          <w:spacing w:val="-3"/>
        </w:rPr>
        <w:t>代</w:t>
      </w:r>
      <w:r>
        <w:t>表</w:t>
      </w:r>
      <w:r>
        <w:rPr>
          <w:spacing w:val="-3"/>
        </w:rPr>
        <w:t>人</w:t>
      </w:r>
      <w:r>
        <w:t>或投</w:t>
      </w:r>
      <w:r>
        <w:rPr>
          <w:spacing w:val="-3"/>
        </w:rPr>
        <w:t>标</w:t>
      </w:r>
      <w:r>
        <w:t>人</w:t>
      </w:r>
      <w:r>
        <w:rPr>
          <w:spacing w:val="-3"/>
        </w:rPr>
        <w:t>授</w:t>
      </w:r>
      <w:r>
        <w:t>权</w:t>
      </w:r>
      <w:r>
        <w:rPr>
          <w:spacing w:val="-3"/>
        </w:rPr>
        <w:t>代</w:t>
      </w:r>
      <w:r>
        <w:t>表</w:t>
      </w:r>
      <w:r>
        <w:rPr>
          <w:spacing w:val="-3"/>
        </w:rPr>
        <w:t>（</w:t>
      </w:r>
      <w:r>
        <w:t>签</w:t>
      </w:r>
      <w:r>
        <w:rPr>
          <w:spacing w:val="-3"/>
        </w:rPr>
        <w:t>名</w:t>
      </w:r>
      <w:r>
        <w:t>或盖</w:t>
      </w:r>
      <w:r>
        <w:rPr>
          <w:spacing w:val="-3"/>
        </w:rPr>
        <w:t>章</w:t>
      </w:r>
      <w:r>
        <w:t>）：</w:t>
      </w:r>
    </w:p>
    <w:p w14:paraId="56EAA593">
      <w:pPr>
        <w:pStyle w:val="5"/>
        <w:spacing w:before="3"/>
        <w:rPr>
          <w:sz w:val="23"/>
        </w:rPr>
      </w:pPr>
    </w:p>
    <w:p w14:paraId="514F599D">
      <w:pPr>
        <w:pStyle w:val="5"/>
        <w:tabs>
          <w:tab w:val="left" w:pos="4392"/>
        </w:tabs>
        <w:ind w:left="818"/>
      </w:pPr>
      <w:r>
        <w:t>单位</w:t>
      </w:r>
      <w:r>
        <w:rPr>
          <w:spacing w:val="-3"/>
        </w:rPr>
        <w:t>地</w:t>
      </w:r>
      <w:r>
        <w:t>址：</w:t>
      </w:r>
      <w:r>
        <w:tab/>
      </w:r>
      <w:r>
        <w:rPr>
          <w:spacing w:val="-3"/>
        </w:rPr>
        <w:t>单</w:t>
      </w:r>
      <w:r>
        <w:t>位</w:t>
      </w:r>
      <w:r>
        <w:rPr>
          <w:spacing w:val="-3"/>
        </w:rPr>
        <w:t>公</w:t>
      </w:r>
      <w:r>
        <w:t>章：</w:t>
      </w:r>
    </w:p>
    <w:p w14:paraId="685DEFD1">
      <w:pPr>
        <w:pStyle w:val="5"/>
        <w:rPr>
          <w:sz w:val="23"/>
        </w:rPr>
      </w:pPr>
    </w:p>
    <w:p w14:paraId="5CE30DD4">
      <w:pPr>
        <w:pStyle w:val="5"/>
        <w:tabs>
          <w:tab w:val="left" w:pos="4392"/>
        </w:tabs>
        <w:ind w:left="818"/>
      </w:pPr>
      <w:r>
        <w:t>邮政</w:t>
      </w:r>
      <w:r>
        <w:rPr>
          <w:spacing w:val="-3"/>
        </w:rPr>
        <w:t>编</w:t>
      </w:r>
      <w:r>
        <w:t>码：</w:t>
      </w:r>
      <w:r>
        <w:tab/>
      </w:r>
      <w:r>
        <w:rPr>
          <w:spacing w:val="-3"/>
        </w:rPr>
        <w:t>日</w:t>
      </w:r>
      <w:r>
        <w:t>期：</w:t>
      </w:r>
    </w:p>
    <w:p w14:paraId="41D98151">
      <w:pPr>
        <w:pStyle w:val="5"/>
        <w:rPr>
          <w:sz w:val="23"/>
        </w:rPr>
      </w:pPr>
    </w:p>
    <w:p w14:paraId="5DD75AAB">
      <w:pPr>
        <w:pStyle w:val="5"/>
        <w:spacing w:before="1"/>
        <w:ind w:left="818"/>
      </w:pPr>
      <w:r>
        <w:t>联系电话：</w:t>
      </w:r>
    </w:p>
    <w:p w14:paraId="544F36C2">
      <w:pPr>
        <w:sectPr>
          <w:pgSz w:w="11910" w:h="16840"/>
          <w:pgMar w:top="1360" w:right="1340" w:bottom="1420" w:left="1020" w:header="567" w:footer="1216" w:gutter="0"/>
          <w:pgNumType w:fmt="decimal"/>
          <w:cols w:space="720" w:num="1"/>
        </w:sectPr>
      </w:pPr>
    </w:p>
    <w:p w14:paraId="5A0B6576">
      <w:pPr>
        <w:spacing w:before="133"/>
        <w:ind w:left="398"/>
        <w:rPr>
          <w:b/>
          <w:sz w:val="28"/>
        </w:rPr>
      </w:pPr>
      <w:r>
        <w:rPr>
          <w:b/>
          <w:sz w:val="28"/>
        </w:rPr>
        <w:t>格式</w:t>
      </w:r>
      <w:r>
        <w:rPr>
          <w:rFonts w:hint="eastAsia"/>
          <w:b/>
          <w:sz w:val="28"/>
        </w:rPr>
        <w:t>3</w:t>
      </w:r>
    </w:p>
    <w:p w14:paraId="71FE1F2F">
      <w:pPr>
        <w:pStyle w:val="5"/>
        <w:rPr>
          <w:b/>
          <w:sz w:val="32"/>
        </w:rPr>
      </w:pPr>
      <w:r>
        <w:br w:type="column"/>
      </w:r>
    </w:p>
    <w:p w14:paraId="08C7B982">
      <w:pPr>
        <w:spacing w:before="214"/>
        <w:ind w:left="398"/>
        <w:rPr>
          <w:b/>
          <w:sz w:val="32"/>
        </w:rPr>
      </w:pPr>
      <w:r>
        <w:rPr>
          <w:b/>
          <w:sz w:val="32"/>
        </w:rPr>
        <w:t>法定代表人授权委托书</w:t>
      </w:r>
    </w:p>
    <w:p w14:paraId="51B2F108">
      <w:pPr>
        <w:rPr>
          <w:sz w:val="32"/>
        </w:rPr>
        <w:sectPr>
          <w:pgSz w:w="11910" w:h="16840"/>
          <w:pgMar w:top="1360" w:right="1340" w:bottom="1420" w:left="1020" w:header="567" w:footer="1216" w:gutter="0"/>
          <w:pgNumType w:fmt="decimal"/>
          <w:cols w:equalWidth="0" w:num="2">
            <w:col w:w="1141" w:space="1595"/>
            <w:col w:w="6814"/>
          </w:cols>
        </w:sectPr>
      </w:pPr>
    </w:p>
    <w:p w14:paraId="09F1C476">
      <w:pPr>
        <w:pStyle w:val="5"/>
        <w:spacing w:before="6"/>
        <w:rPr>
          <w:b/>
          <w:sz w:val="26"/>
        </w:rPr>
      </w:pPr>
    </w:p>
    <w:p w14:paraId="6FC7BA15">
      <w:pPr>
        <w:pStyle w:val="5"/>
        <w:spacing w:before="152" w:line="364" w:lineRule="auto"/>
        <w:ind w:left="398" w:right="535" w:firstLine="525"/>
        <w:jc w:val="both"/>
      </w:pPr>
      <w:r>
        <w:t>本授权委托书声明：注册于</w:t>
      </w:r>
      <w:r>
        <w:rPr>
          <w:u w:val="single"/>
        </w:rPr>
        <w:t xml:space="preserve"> </w:t>
      </w:r>
      <w:r>
        <w:rPr>
          <w:u w:val="single"/>
        </w:rPr>
        <w:tab/>
      </w:r>
      <w:r>
        <w:rPr>
          <w:u w:val="single"/>
        </w:rPr>
        <w:t>（投标人地址）</w:t>
      </w:r>
      <w:r>
        <w:rPr>
          <w:u w:val="single"/>
        </w:rPr>
        <w:tab/>
      </w:r>
      <w:r>
        <w:t>的</w:t>
      </w:r>
      <w:r>
        <w:rPr>
          <w:u w:val="single"/>
        </w:rPr>
        <w:t xml:space="preserve">  （投标人名称）</w:t>
      </w:r>
      <w:r>
        <w:rPr>
          <w:u w:val="single"/>
        </w:rPr>
        <w:tab/>
      </w:r>
      <w:r>
        <w:t>在下面签名的</w:t>
      </w:r>
      <w:r>
        <w:rPr>
          <w:u w:val="single"/>
        </w:rPr>
        <w:t>（法定代表人姓名、职务）</w:t>
      </w:r>
      <w:r>
        <w:rPr>
          <w:rFonts w:hint="eastAsia"/>
          <w:u w:val="single"/>
          <w:lang w:val="en-US" w:eastAsia="zh-CN"/>
        </w:rPr>
        <w:t xml:space="preserve"> </w:t>
      </w:r>
      <w:r>
        <w:t>在此授权（被授权人姓名、职务</w:t>
      </w:r>
      <w:r>
        <w:rPr>
          <w:rFonts w:hint="eastAsia"/>
          <w:lang w:eastAsia="zh-CN"/>
        </w:rPr>
        <w:t>）</w:t>
      </w:r>
      <w:r>
        <w:rPr>
          <w:rFonts w:hint="eastAsia"/>
          <w:lang w:val="en-US" w:eastAsia="zh-CN"/>
        </w:rPr>
        <w:t xml:space="preserve"> </w:t>
      </w:r>
      <w:r>
        <w:t>作为我公司的合法代理人，就</w:t>
      </w:r>
      <w:r>
        <w:rPr>
          <w:u w:val="single"/>
        </w:rPr>
        <w:t xml:space="preserve">  （项目名称</w:t>
      </w:r>
      <w:r>
        <w:rPr>
          <w:rFonts w:hint="eastAsia"/>
          <w:u w:val="single"/>
          <w:lang w:eastAsia="zh-CN"/>
        </w:rPr>
        <w:t>）</w:t>
      </w:r>
      <w:r>
        <w:rPr>
          <w:rFonts w:hint="eastAsia"/>
          <w:u w:val="single"/>
          <w:lang w:val="en-US" w:eastAsia="zh-CN"/>
        </w:rPr>
        <w:t xml:space="preserve">  </w:t>
      </w:r>
      <w:r>
        <w:t>的招投标活动，采购合同的签订、执行、完成和售后服务，作为投标人代表以我方的名义处理一切与之有关的事务。</w:t>
      </w:r>
    </w:p>
    <w:p w14:paraId="02BAC568">
      <w:pPr>
        <w:pStyle w:val="5"/>
        <w:spacing w:before="152" w:line="364" w:lineRule="auto"/>
        <w:ind w:left="398" w:right="535" w:firstLine="525"/>
        <w:jc w:val="both"/>
      </w:pPr>
      <w:r>
        <w:t>被授权人（投标人授权代表）无转委托权限。</w:t>
      </w:r>
    </w:p>
    <w:p w14:paraId="6EB8F1F3">
      <w:pPr>
        <w:pStyle w:val="5"/>
        <w:spacing w:before="152" w:line="364" w:lineRule="auto"/>
        <w:ind w:left="398" w:right="535" w:firstLine="525"/>
        <w:jc w:val="both"/>
      </w:pPr>
      <w:r>
        <w:t>本授权书自法定代表人签字之日起生效，特此声明。</w:t>
      </w:r>
    </w:p>
    <w:p w14:paraId="5B7CB4DE">
      <w:pPr>
        <w:pStyle w:val="5"/>
        <w:rPr>
          <w:sz w:val="20"/>
        </w:rPr>
      </w:pPr>
    </w:p>
    <w:p w14:paraId="7E501CA2">
      <w:pPr>
        <w:pStyle w:val="5"/>
        <w:rPr>
          <w:sz w:val="20"/>
        </w:rPr>
      </w:pPr>
    </w:p>
    <w:p w14:paraId="546687FD">
      <w:pPr>
        <w:pStyle w:val="5"/>
        <w:spacing w:before="4"/>
        <w:rPr>
          <w:sz w:val="24"/>
        </w:rPr>
      </w:pPr>
    </w:p>
    <w:p w14:paraId="4802533E">
      <w:pPr>
        <w:ind w:left="398"/>
        <w:rPr>
          <w:b/>
          <w:sz w:val="21"/>
        </w:rPr>
      </w:pPr>
      <w:r>
        <w:rPr>
          <w:b/>
          <w:sz w:val="21"/>
        </w:rPr>
        <w:t>随附《法定代表人证明》</w:t>
      </w:r>
    </w:p>
    <w:p w14:paraId="520340CD">
      <w:pPr>
        <w:pStyle w:val="5"/>
        <w:rPr>
          <w:b/>
          <w:sz w:val="20"/>
        </w:rPr>
      </w:pPr>
    </w:p>
    <w:p w14:paraId="5FDA679E">
      <w:pPr>
        <w:pStyle w:val="5"/>
        <w:rPr>
          <w:b/>
          <w:sz w:val="20"/>
        </w:rPr>
      </w:pPr>
    </w:p>
    <w:p w14:paraId="55D7173E">
      <w:pPr>
        <w:bidi w:val="0"/>
      </w:pPr>
      <w:r>
        <w:t>投标人名称（盖公章）：</w:t>
      </w:r>
    </w:p>
    <w:p w14:paraId="0431EA1E">
      <w:pPr>
        <w:bidi w:val="0"/>
      </w:pPr>
    </w:p>
    <w:p w14:paraId="44BFF1BE">
      <w:pPr>
        <w:bidi w:val="0"/>
      </w:pPr>
    </w:p>
    <w:p w14:paraId="182D2F73">
      <w:pPr>
        <w:bidi w:val="0"/>
      </w:pPr>
      <w:r>
        <w:t>地</w:t>
      </w:r>
      <w:r>
        <w:rPr>
          <w:rFonts w:hint="eastAsia"/>
          <w:lang w:val="en-US" w:eastAsia="zh-CN"/>
        </w:rPr>
        <w:t xml:space="preserve">     </w:t>
      </w:r>
      <w:r>
        <w:t>址：</w:t>
      </w:r>
    </w:p>
    <w:p w14:paraId="379F4E07">
      <w:pPr>
        <w:bidi w:val="0"/>
      </w:pPr>
    </w:p>
    <w:p w14:paraId="2991786F">
      <w:pPr>
        <w:bidi w:val="0"/>
      </w:pPr>
    </w:p>
    <w:p w14:paraId="466A5B69">
      <w:pPr>
        <w:bidi w:val="0"/>
      </w:pPr>
      <w:r>
        <w:t xml:space="preserve">法定代表人（签字或盖章）： </w:t>
      </w:r>
    </w:p>
    <w:p w14:paraId="2A837108">
      <w:pPr>
        <w:bidi w:val="0"/>
      </w:pPr>
    </w:p>
    <w:p w14:paraId="57F65C63">
      <w:pPr>
        <w:bidi w:val="0"/>
      </w:pPr>
    </w:p>
    <w:p w14:paraId="23FF755B">
      <w:pPr>
        <w:bidi w:val="0"/>
        <w:rPr>
          <w:rFonts w:hint="eastAsia"/>
          <w:lang w:eastAsia="zh-CN"/>
        </w:rPr>
      </w:pPr>
      <w:r>
        <w:t>签</w:t>
      </w:r>
      <w:r>
        <w:rPr>
          <w:rFonts w:hint="eastAsia"/>
          <w:lang w:val="en-US" w:eastAsia="zh-CN"/>
        </w:rPr>
        <w:t xml:space="preserve">      </w:t>
      </w:r>
      <w:r>
        <w:t>字</w:t>
      </w:r>
      <w:r>
        <w:rPr>
          <w:rFonts w:hint="eastAsia"/>
          <w:lang w:eastAsia="zh-CN"/>
        </w:rPr>
        <w:t>：</w:t>
      </w:r>
    </w:p>
    <w:p w14:paraId="3786D18A">
      <w:pPr>
        <w:bidi w:val="0"/>
      </w:pPr>
    </w:p>
    <w:p w14:paraId="69C2C092">
      <w:pPr>
        <w:bidi w:val="0"/>
      </w:pPr>
    </w:p>
    <w:p w14:paraId="6193C27D">
      <w:pPr>
        <w:bidi w:val="0"/>
      </w:pPr>
      <w:r>
        <w:t>日期：</w:t>
      </w:r>
      <w:r>
        <w:rPr>
          <w:rFonts w:hint="eastAsia"/>
          <w:u w:val="single"/>
          <w:lang w:val="en-US" w:eastAsia="zh-CN"/>
        </w:rPr>
        <w:tab/>
      </w:r>
      <w:r>
        <w:rPr>
          <w:rFonts w:hint="eastAsia"/>
          <w:u w:val="single"/>
          <w:lang w:val="en-US" w:eastAsia="zh-CN"/>
        </w:rPr>
        <w:tab/>
      </w:r>
      <w:r>
        <w:t>年</w:t>
      </w:r>
      <w:r>
        <w:rPr>
          <w:rFonts w:hint="eastAsia"/>
          <w:u w:val="single"/>
          <w:lang w:val="en-US" w:eastAsia="zh-CN"/>
        </w:rPr>
        <w:tab/>
      </w:r>
      <w:r>
        <w:t>月</w:t>
      </w:r>
      <w:r>
        <w:rPr>
          <w:rFonts w:hint="eastAsia"/>
          <w:u w:val="single"/>
          <w:lang w:val="en-US" w:eastAsia="zh-CN"/>
        </w:rPr>
        <w:tab/>
      </w:r>
      <w:r>
        <w:t>日</w:t>
      </w:r>
    </w:p>
    <w:p w14:paraId="1D096547">
      <w:pPr>
        <w:pStyle w:val="5"/>
        <w:rPr>
          <w:sz w:val="22"/>
        </w:rPr>
      </w:pPr>
    </w:p>
    <w:p w14:paraId="07659DB5">
      <w:pPr>
        <w:pStyle w:val="5"/>
        <w:spacing w:before="186"/>
        <w:ind w:left="398"/>
      </w:pPr>
      <w:r>
        <w:t>被授权人（投标人授权代表）（签字或盖章）：</w:t>
      </w:r>
    </w:p>
    <w:p w14:paraId="4A12D893">
      <w:pPr>
        <w:pStyle w:val="5"/>
        <w:rPr>
          <w:sz w:val="20"/>
        </w:rPr>
      </w:pPr>
    </w:p>
    <w:p w14:paraId="27E6DB5D">
      <w:pPr>
        <w:pStyle w:val="5"/>
        <w:spacing w:before="8"/>
        <w:rPr>
          <w:sz w:val="10"/>
        </w:rPr>
      </w:pPr>
      <w:r>
        <w:rPr>
          <w:lang w:val="en-US" w:bidi="ar-SA"/>
        </w:rPr>
        <mc:AlternateContent>
          <mc:Choice Requires="wps">
            <w:drawing>
              <wp:anchor distT="0" distB="0" distL="114300" distR="114300" simplePos="0" relativeHeight="251664384" behindDoc="1" locked="0" layoutInCell="1" allowOverlap="1">
                <wp:simplePos x="0" y="0"/>
                <wp:positionH relativeFrom="page">
                  <wp:posOffset>735965</wp:posOffset>
                </wp:positionH>
                <wp:positionV relativeFrom="paragraph">
                  <wp:posOffset>116205</wp:posOffset>
                </wp:positionV>
                <wp:extent cx="2643505" cy="2114550"/>
                <wp:effectExtent l="4445" t="5080" r="19050" b="13970"/>
                <wp:wrapTopAndBottom/>
                <wp:docPr id="25" name="文本框 25"/>
                <wp:cNvGraphicFramePr/>
                <a:graphic xmlns:a="http://schemas.openxmlformats.org/drawingml/2006/main">
                  <a:graphicData uri="http://schemas.microsoft.com/office/word/2010/wordprocessingShape">
                    <wps:wsp>
                      <wps:cNvSpPr txBox="1"/>
                      <wps:spPr>
                        <a:xfrm>
                          <a:off x="0" y="0"/>
                          <a:ext cx="2643505" cy="2114550"/>
                        </a:xfrm>
                        <a:prstGeom prst="rect">
                          <a:avLst/>
                        </a:prstGeom>
                        <a:noFill/>
                        <a:ln w="9525" cap="flat" cmpd="sng">
                          <a:solidFill>
                            <a:srgbClr val="000000"/>
                          </a:solidFill>
                          <a:prstDash val="solid"/>
                          <a:miter/>
                          <a:headEnd type="none" w="med" len="med"/>
                          <a:tailEnd type="none" w="med" len="med"/>
                        </a:ln>
                        <a:effectLst/>
                      </wps:spPr>
                      <wps:txbx>
                        <w:txbxContent>
                          <w:p w14:paraId="67E586DE">
                            <w:pPr>
                              <w:pStyle w:val="5"/>
                              <w:spacing w:before="97" w:line="278" w:lineRule="auto"/>
                              <w:ind w:left="917" w:right="916"/>
                              <w:jc w:val="center"/>
                            </w:pPr>
                            <w:r>
                              <w:rPr>
                                <w:spacing w:val="-1"/>
                              </w:rPr>
                              <w:t>被授权人</w:t>
                            </w:r>
                            <w:r>
                              <w:rPr>
                                <w:spacing w:val="-3"/>
                              </w:rPr>
                              <w:t>（授权代表</w:t>
                            </w:r>
                            <w:r>
                              <w:t xml:space="preserve">） </w:t>
                            </w:r>
                            <w:r>
                              <w:rPr>
                                <w:spacing w:val="-5"/>
                              </w:rPr>
                              <w:t>居民身份证复印件粘贴处</w:t>
                            </w:r>
                          </w:p>
                          <w:p w14:paraId="7D292496">
                            <w:pPr>
                              <w:pStyle w:val="5"/>
                              <w:spacing w:before="4"/>
                              <w:rPr>
                                <w:sz w:val="24"/>
                              </w:rPr>
                            </w:pPr>
                          </w:p>
                          <w:p w14:paraId="0A215557">
                            <w:pPr>
                              <w:pStyle w:val="5"/>
                              <w:ind w:left="917" w:right="915"/>
                              <w:jc w:val="center"/>
                            </w:pPr>
                            <w:r>
                              <w:t>（正面）</w:t>
                            </w:r>
                          </w:p>
                        </w:txbxContent>
                      </wps:txbx>
                      <wps:bodyPr lIns="0" tIns="0" rIns="0" bIns="0" upright="1"/>
                    </wps:wsp>
                  </a:graphicData>
                </a:graphic>
              </wp:anchor>
            </w:drawing>
          </mc:Choice>
          <mc:Fallback>
            <w:pict>
              <v:shape id="_x0000_s1026" o:spid="_x0000_s1026" o:spt="202" type="#_x0000_t202" style="position:absolute;left:0pt;margin-left:57.95pt;margin-top:9.15pt;height:166.5pt;width:208.15pt;mso-position-horizontal-relative:page;mso-wrap-distance-bottom:0pt;mso-wrap-distance-top:0pt;z-index:-251652096;mso-width-relative:page;mso-height-relative:page;" filled="f" stroked="t" coordsize="21600,21600" o:gfxdata="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5OOcNkAAAAK&#10;AQAADwAAAAAAAAABACAAAAAiAAAAZHJzL2Rvd25yZXYueG1sUEsBAhQAFAAAAAgAh07iQLGuw3sb&#10;AgAAQgQAAA4AAAAAAAAAAQAgAAAAKAEAAGRycy9lMm9Eb2MueG1sUEsFBgAAAAAGAAYAWQEAALUF&#10;AAAAAA==&#10;">
                <v:fill on="f" focussize="0,0"/>
                <v:stroke color="#000000" joinstyle="miter"/>
                <v:imagedata o:title=""/>
                <o:lock v:ext="edit" aspectratio="f"/>
                <v:textbox inset="0mm,0mm,0mm,0mm">
                  <w:txbxContent>
                    <w:p w14:paraId="67E586DE">
                      <w:pPr>
                        <w:pStyle w:val="5"/>
                        <w:spacing w:before="97" w:line="278" w:lineRule="auto"/>
                        <w:ind w:left="917" w:right="916"/>
                        <w:jc w:val="center"/>
                      </w:pPr>
                      <w:r>
                        <w:rPr>
                          <w:spacing w:val="-1"/>
                        </w:rPr>
                        <w:t>被授权人</w:t>
                      </w:r>
                      <w:r>
                        <w:rPr>
                          <w:spacing w:val="-3"/>
                        </w:rPr>
                        <w:t>（授权代表</w:t>
                      </w:r>
                      <w:r>
                        <w:t xml:space="preserve">） </w:t>
                      </w:r>
                      <w:r>
                        <w:rPr>
                          <w:spacing w:val="-5"/>
                        </w:rPr>
                        <w:t>居民身份证复印件粘贴处</w:t>
                      </w:r>
                    </w:p>
                    <w:p w14:paraId="7D292496">
                      <w:pPr>
                        <w:pStyle w:val="5"/>
                        <w:spacing w:before="4"/>
                        <w:rPr>
                          <w:sz w:val="24"/>
                        </w:rPr>
                      </w:pPr>
                    </w:p>
                    <w:p w14:paraId="0A215557">
                      <w:pPr>
                        <w:pStyle w:val="5"/>
                        <w:ind w:left="917" w:right="915"/>
                        <w:jc w:val="center"/>
                      </w:pPr>
                      <w:r>
                        <w:t>（正面）</w:t>
                      </w:r>
                    </w:p>
                  </w:txbxContent>
                </v:textbox>
                <w10:wrap type="topAndBottom"/>
              </v:shape>
            </w:pict>
          </mc:Fallback>
        </mc:AlternateContent>
      </w:r>
      <w:r>
        <w:rPr>
          <w:lang w:val="en-US" w:bidi="ar-SA"/>
        </w:rPr>
        <mc:AlternateContent>
          <mc:Choice Requires="wps">
            <w:drawing>
              <wp:anchor distT="0" distB="0" distL="114300" distR="114300" simplePos="0" relativeHeight="251665408" behindDoc="1" locked="0" layoutInCell="1" allowOverlap="1">
                <wp:simplePos x="0" y="0"/>
                <wp:positionH relativeFrom="page">
                  <wp:posOffset>3593465</wp:posOffset>
                </wp:positionH>
                <wp:positionV relativeFrom="paragraph">
                  <wp:posOffset>116205</wp:posOffset>
                </wp:positionV>
                <wp:extent cx="2785745" cy="2059305"/>
                <wp:effectExtent l="4445" t="4445" r="10160" b="12700"/>
                <wp:wrapTopAndBottom/>
                <wp:docPr id="26" name="文本框 26"/>
                <wp:cNvGraphicFramePr/>
                <a:graphic xmlns:a="http://schemas.openxmlformats.org/drawingml/2006/main">
                  <a:graphicData uri="http://schemas.microsoft.com/office/word/2010/wordprocessingShape">
                    <wps:wsp>
                      <wps:cNvSpPr txBox="1"/>
                      <wps:spPr>
                        <a:xfrm>
                          <a:off x="0" y="0"/>
                          <a:ext cx="2785745" cy="2059305"/>
                        </a:xfrm>
                        <a:prstGeom prst="rect">
                          <a:avLst/>
                        </a:prstGeom>
                        <a:noFill/>
                        <a:ln w="9525" cap="flat" cmpd="sng">
                          <a:solidFill>
                            <a:srgbClr val="000000"/>
                          </a:solidFill>
                          <a:prstDash val="solid"/>
                          <a:miter/>
                          <a:headEnd type="none" w="med" len="med"/>
                          <a:tailEnd type="none" w="med" len="med"/>
                        </a:ln>
                        <a:effectLst/>
                      </wps:spPr>
                      <wps:txbx>
                        <w:txbxContent>
                          <w:p w14:paraId="418134CD">
                            <w:pPr>
                              <w:pStyle w:val="5"/>
                              <w:spacing w:before="97" w:line="278" w:lineRule="auto"/>
                              <w:ind w:left="1030" w:right="1025"/>
                              <w:jc w:val="center"/>
                            </w:pPr>
                            <w:r>
                              <w:rPr>
                                <w:spacing w:val="-1"/>
                              </w:rPr>
                              <w:t>被授权人</w:t>
                            </w:r>
                            <w:r>
                              <w:rPr>
                                <w:spacing w:val="-3"/>
                              </w:rPr>
                              <w:t>（授权代表</w:t>
                            </w:r>
                            <w:r>
                              <w:t xml:space="preserve">） </w:t>
                            </w:r>
                            <w:r>
                              <w:rPr>
                                <w:spacing w:val="-5"/>
                              </w:rPr>
                              <w:t>居民身份证复印件粘贴处</w:t>
                            </w:r>
                          </w:p>
                          <w:p w14:paraId="6BB61273">
                            <w:pPr>
                              <w:pStyle w:val="5"/>
                              <w:spacing w:before="4"/>
                              <w:rPr>
                                <w:sz w:val="24"/>
                              </w:rPr>
                            </w:pPr>
                          </w:p>
                          <w:p w14:paraId="53B51BFF">
                            <w:pPr>
                              <w:pStyle w:val="5"/>
                              <w:ind w:left="1030" w:right="1025"/>
                              <w:jc w:val="center"/>
                            </w:pPr>
                            <w:r>
                              <w:t>（反面）</w:t>
                            </w:r>
                          </w:p>
                        </w:txbxContent>
                      </wps:txbx>
                      <wps:bodyPr lIns="0" tIns="0" rIns="0" bIns="0" upright="1"/>
                    </wps:wsp>
                  </a:graphicData>
                </a:graphic>
              </wp:anchor>
            </w:drawing>
          </mc:Choice>
          <mc:Fallback>
            <w:pict>
              <v:shape id="_x0000_s1026" o:spid="_x0000_s1026" o:spt="202" type="#_x0000_t202" style="position:absolute;left:0pt;margin-left:282.95pt;margin-top:9.15pt;height:162.15pt;width:219.35pt;mso-position-horizontal-relative:page;mso-wrap-distance-bottom:0pt;mso-wrap-distance-top:0pt;z-index:-251651072;mso-width-relative:page;mso-height-relative:page;" filled="f" stroked="t" coordsize="21600,21600" o:gfxdata="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AKDz7aAAAA&#10;CwEAAA8AAAAAAAAAAQAgAAAAIgAAAGRycy9kb3ducmV2LnhtbFBLAQIUABQAAAAIAIdO4kDLb2oL&#10;GwIAAEIEAAAOAAAAAAAAAAEAIAAAACkBAABkcnMvZTJvRG9jLnhtbFBLBQYAAAAABgAGAFkBAAC2&#10;BQAAAAA=&#10;">
                <v:fill on="f" focussize="0,0"/>
                <v:stroke color="#000000" joinstyle="miter"/>
                <v:imagedata o:title=""/>
                <o:lock v:ext="edit" aspectratio="f"/>
                <v:textbox inset="0mm,0mm,0mm,0mm">
                  <w:txbxContent>
                    <w:p w14:paraId="418134CD">
                      <w:pPr>
                        <w:pStyle w:val="5"/>
                        <w:spacing w:before="97" w:line="278" w:lineRule="auto"/>
                        <w:ind w:left="1030" w:right="1025"/>
                        <w:jc w:val="center"/>
                      </w:pPr>
                      <w:r>
                        <w:rPr>
                          <w:spacing w:val="-1"/>
                        </w:rPr>
                        <w:t>被授权人</w:t>
                      </w:r>
                      <w:r>
                        <w:rPr>
                          <w:spacing w:val="-3"/>
                        </w:rPr>
                        <w:t>（授权代表</w:t>
                      </w:r>
                      <w:r>
                        <w:t xml:space="preserve">） </w:t>
                      </w:r>
                      <w:r>
                        <w:rPr>
                          <w:spacing w:val="-5"/>
                        </w:rPr>
                        <w:t>居民身份证复印件粘贴处</w:t>
                      </w:r>
                    </w:p>
                    <w:p w14:paraId="6BB61273">
                      <w:pPr>
                        <w:pStyle w:val="5"/>
                        <w:spacing w:before="4"/>
                        <w:rPr>
                          <w:sz w:val="24"/>
                        </w:rPr>
                      </w:pPr>
                    </w:p>
                    <w:p w14:paraId="53B51BFF">
                      <w:pPr>
                        <w:pStyle w:val="5"/>
                        <w:ind w:left="1030" w:right="1025"/>
                        <w:jc w:val="center"/>
                      </w:pPr>
                      <w:r>
                        <w:t>（反面）</w:t>
                      </w:r>
                    </w:p>
                  </w:txbxContent>
                </v:textbox>
                <w10:wrap type="topAndBottom"/>
              </v:shape>
            </w:pict>
          </mc:Fallback>
        </mc:AlternateContent>
      </w:r>
    </w:p>
    <w:p w14:paraId="31FD3245">
      <w:pPr>
        <w:rPr>
          <w:sz w:val="10"/>
        </w:rPr>
        <w:sectPr>
          <w:type w:val="continuous"/>
          <w:pgSz w:w="11910" w:h="16840"/>
          <w:pgMar w:top="1580" w:right="1340" w:bottom="280" w:left="1020" w:header="720" w:footer="720" w:gutter="0"/>
          <w:pgNumType w:fmt="decimal"/>
          <w:cols w:space="720" w:num="1"/>
        </w:sectPr>
      </w:pPr>
    </w:p>
    <w:p w14:paraId="0F169F5A">
      <w:pPr>
        <w:spacing w:before="133"/>
        <w:ind w:left="398"/>
        <w:rPr>
          <w:b/>
          <w:sz w:val="28"/>
        </w:rPr>
      </w:pPr>
      <w:r>
        <w:rPr>
          <w:b/>
          <w:sz w:val="28"/>
        </w:rPr>
        <w:t>格式</w:t>
      </w:r>
      <w:r>
        <w:rPr>
          <w:rFonts w:hint="eastAsia"/>
          <w:b/>
          <w:sz w:val="28"/>
        </w:rPr>
        <w:t>4</w:t>
      </w:r>
    </w:p>
    <w:p w14:paraId="132B3E22">
      <w:pPr>
        <w:pStyle w:val="5"/>
        <w:rPr>
          <w:b/>
          <w:sz w:val="32"/>
        </w:rPr>
      </w:pPr>
      <w:r>
        <w:br w:type="column"/>
      </w:r>
    </w:p>
    <w:p w14:paraId="70DBBEF2">
      <w:pPr>
        <w:spacing w:before="214"/>
        <w:ind w:left="398"/>
        <w:rPr>
          <w:b/>
          <w:sz w:val="32"/>
        </w:rPr>
      </w:pPr>
      <w:r>
        <w:rPr>
          <w:b/>
          <w:sz w:val="32"/>
        </w:rPr>
        <w:t>法定代表人证明书</w:t>
      </w:r>
    </w:p>
    <w:p w14:paraId="0AE55420">
      <w:pPr>
        <w:rPr>
          <w:sz w:val="32"/>
        </w:rPr>
        <w:sectPr>
          <w:pgSz w:w="11910" w:h="16840"/>
          <w:pgMar w:top="1360" w:right="1340" w:bottom="1420" w:left="1020" w:header="567" w:footer="1216" w:gutter="0"/>
          <w:pgNumType w:fmt="decimal"/>
          <w:cols w:equalWidth="0" w:num="2">
            <w:col w:w="1141" w:space="1917"/>
            <w:col w:w="6492"/>
          </w:cols>
        </w:sectPr>
      </w:pPr>
    </w:p>
    <w:p w14:paraId="7F0D983F">
      <w:pPr>
        <w:pStyle w:val="5"/>
        <w:rPr>
          <w:b/>
          <w:sz w:val="20"/>
        </w:rPr>
      </w:pPr>
    </w:p>
    <w:p w14:paraId="3DC6BB9E">
      <w:pPr>
        <w:pStyle w:val="5"/>
        <w:spacing w:before="9"/>
        <w:rPr>
          <w:b/>
          <w:sz w:val="18"/>
        </w:rPr>
      </w:pPr>
    </w:p>
    <w:p w14:paraId="11DFE818">
      <w:pPr>
        <w:pStyle w:val="5"/>
        <w:tabs>
          <w:tab w:val="left" w:pos="2815"/>
        </w:tabs>
        <w:spacing w:before="1"/>
        <w:ind w:left="1344"/>
      </w:pPr>
      <w:r>
        <w:rPr>
          <w:rFonts w:ascii="Times New Roman" w:eastAsia="Times New Roman"/>
          <w:u w:val="single"/>
        </w:rPr>
        <w:t xml:space="preserve"> </w:t>
      </w:r>
      <w:r>
        <w:rPr>
          <w:rFonts w:ascii="Times New Roman" w:eastAsia="Times New Roman"/>
          <w:u w:val="single"/>
        </w:rPr>
        <w:tab/>
      </w:r>
      <w:r>
        <w:rPr>
          <w:spacing w:val="-3"/>
        </w:rPr>
        <w:t>同志，现任我单位职务，为法定代表人，特此证明。</w:t>
      </w:r>
    </w:p>
    <w:p w14:paraId="027FAA3E">
      <w:pPr>
        <w:pStyle w:val="5"/>
        <w:spacing w:before="8"/>
        <w:rPr>
          <w:sz w:val="27"/>
        </w:rPr>
      </w:pPr>
    </w:p>
    <w:p w14:paraId="463099D8">
      <w:pPr>
        <w:pStyle w:val="5"/>
        <w:tabs>
          <w:tab w:val="left" w:pos="7438"/>
          <w:tab w:val="left" w:pos="7962"/>
          <w:tab w:val="left" w:pos="8488"/>
        </w:tabs>
        <w:spacing w:before="1" w:line="556" w:lineRule="auto"/>
        <w:ind w:left="818" w:right="844"/>
      </w:pPr>
      <w:r>
        <w:t>有效</w:t>
      </w:r>
      <w:r>
        <w:rPr>
          <w:spacing w:val="-3"/>
        </w:rPr>
        <w:t>日</w:t>
      </w:r>
      <w:r>
        <w:t>期</w:t>
      </w:r>
      <w:r>
        <w:rPr>
          <w:spacing w:val="-3"/>
        </w:rPr>
        <w:t>与</w:t>
      </w:r>
      <w:r>
        <w:t>本</w:t>
      </w:r>
      <w:r>
        <w:rPr>
          <w:spacing w:val="-3"/>
        </w:rPr>
        <w:t>公</w:t>
      </w:r>
      <w:r>
        <w:t>司</w:t>
      </w:r>
      <w:r>
        <w:rPr>
          <w:spacing w:val="-3"/>
        </w:rPr>
        <w:t>投</w:t>
      </w:r>
      <w:r>
        <w:t>标</w:t>
      </w:r>
      <w:r>
        <w:rPr>
          <w:spacing w:val="-3"/>
        </w:rPr>
        <w:t>文</w:t>
      </w:r>
      <w:r>
        <w:t>件中</w:t>
      </w:r>
      <w:r>
        <w:rPr>
          <w:spacing w:val="-3"/>
        </w:rPr>
        <w:t>标</w:t>
      </w:r>
      <w:r>
        <w:t>注</w:t>
      </w:r>
      <w:r>
        <w:rPr>
          <w:spacing w:val="-3"/>
        </w:rPr>
        <w:t>的</w:t>
      </w:r>
      <w:r>
        <w:t>投</w:t>
      </w:r>
      <w:r>
        <w:rPr>
          <w:spacing w:val="-3"/>
        </w:rPr>
        <w:t>标</w:t>
      </w:r>
      <w:r>
        <w:t>有</w:t>
      </w:r>
      <w:r>
        <w:rPr>
          <w:spacing w:val="-3"/>
        </w:rPr>
        <w:t>效</w:t>
      </w:r>
      <w:r>
        <w:t>期</w:t>
      </w:r>
      <w:r>
        <w:rPr>
          <w:spacing w:val="-3"/>
        </w:rPr>
        <w:t>相</w:t>
      </w:r>
      <w:r>
        <w:t>同。</w:t>
      </w:r>
      <w:r>
        <w:rPr>
          <w:spacing w:val="-3"/>
        </w:rPr>
        <w:t>签</w:t>
      </w:r>
      <w:r>
        <w:t>发</w:t>
      </w:r>
      <w:r>
        <w:rPr>
          <w:spacing w:val="-3"/>
        </w:rPr>
        <w:t>日</w:t>
      </w:r>
      <w:r>
        <w:t>期</w:t>
      </w:r>
      <w:r>
        <w:rPr>
          <w:spacing w:val="-3"/>
        </w:rPr>
        <w:t>：</w:t>
      </w:r>
      <w:r>
        <w:rPr>
          <w:spacing w:val="-3"/>
          <w:u w:val="single"/>
        </w:rPr>
        <w:t xml:space="preserve"> </w:t>
      </w:r>
      <w:r>
        <w:rPr>
          <w:spacing w:val="-3"/>
          <w:u w:val="single"/>
        </w:rPr>
        <w:tab/>
      </w:r>
      <w:r>
        <w:t>年</w:t>
      </w:r>
      <w:r>
        <w:rPr>
          <w:u w:val="single"/>
        </w:rPr>
        <w:t xml:space="preserve"> </w:t>
      </w:r>
      <w:r>
        <w:rPr>
          <w:u w:val="single"/>
        </w:rPr>
        <w:tab/>
      </w:r>
      <w:r>
        <w:t>月</w:t>
      </w:r>
      <w:r>
        <w:rPr>
          <w:u w:val="single"/>
        </w:rPr>
        <w:t xml:space="preserve"> </w:t>
      </w:r>
      <w:r>
        <w:rPr>
          <w:u w:val="single"/>
        </w:rPr>
        <w:tab/>
      </w:r>
      <w:r>
        <w:rPr>
          <w:spacing w:val="-17"/>
        </w:rPr>
        <w:t>日</w:t>
      </w:r>
      <w:r>
        <w:t>附：</w:t>
      </w:r>
    </w:p>
    <w:p w14:paraId="3DEEAB52">
      <w:pPr>
        <w:pStyle w:val="5"/>
        <w:spacing w:line="556" w:lineRule="auto"/>
        <w:ind w:left="1238" w:right="6202"/>
      </w:pPr>
      <w:r>
        <w:t xml:space="preserve">营业执照（注册号）： </w:t>
      </w:r>
    </w:p>
    <w:p w14:paraId="4FDC3104">
      <w:pPr>
        <w:pStyle w:val="5"/>
        <w:spacing w:line="556" w:lineRule="auto"/>
        <w:ind w:left="1238" w:right="6202"/>
      </w:pPr>
      <w:r>
        <w:t>经济性质：</w:t>
      </w:r>
    </w:p>
    <w:p w14:paraId="15CE21B5">
      <w:pPr>
        <w:pStyle w:val="5"/>
        <w:spacing w:line="556" w:lineRule="auto"/>
        <w:ind w:left="1238" w:right="7043"/>
      </w:pPr>
      <w:r>
        <w:t xml:space="preserve">主营（产）： </w:t>
      </w:r>
    </w:p>
    <w:p w14:paraId="5FA62F2C">
      <w:pPr>
        <w:pStyle w:val="5"/>
        <w:spacing w:line="556" w:lineRule="auto"/>
        <w:ind w:left="1238" w:right="7043"/>
      </w:pPr>
      <w:r>
        <w:t>兼营（产）：</w:t>
      </w:r>
    </w:p>
    <w:p w14:paraId="54DAD4E3">
      <w:pPr>
        <w:pStyle w:val="5"/>
        <w:spacing w:before="2"/>
        <w:rPr>
          <w:sz w:val="12"/>
        </w:rPr>
      </w:pPr>
      <w:r>
        <w:rPr>
          <w:lang w:val="en-US" w:bidi="ar-SA"/>
        </w:rPr>
        <mc:AlternateContent>
          <mc:Choice Requires="wps">
            <w:drawing>
              <wp:anchor distT="0" distB="0" distL="114300" distR="114300" simplePos="0" relativeHeight="251666432" behindDoc="1" locked="0" layoutInCell="1" allowOverlap="1">
                <wp:simplePos x="0" y="0"/>
                <wp:positionH relativeFrom="page">
                  <wp:posOffset>943610</wp:posOffset>
                </wp:positionH>
                <wp:positionV relativeFrom="paragraph">
                  <wp:posOffset>128905</wp:posOffset>
                </wp:positionV>
                <wp:extent cx="2399665" cy="1882140"/>
                <wp:effectExtent l="5080" t="5080" r="14605" b="17780"/>
                <wp:wrapTopAndBottom/>
                <wp:docPr id="27" name="文本框 27"/>
                <wp:cNvGraphicFramePr/>
                <a:graphic xmlns:a="http://schemas.openxmlformats.org/drawingml/2006/main">
                  <a:graphicData uri="http://schemas.microsoft.com/office/word/2010/wordprocessingShape">
                    <wps:wsp>
                      <wps:cNvSpPr txBox="1"/>
                      <wps:spPr>
                        <a:xfrm>
                          <a:off x="0" y="0"/>
                          <a:ext cx="2399665" cy="1882140"/>
                        </a:xfrm>
                        <a:prstGeom prst="rect">
                          <a:avLst/>
                        </a:prstGeom>
                        <a:noFill/>
                        <a:ln w="9525" cap="flat" cmpd="sng">
                          <a:solidFill>
                            <a:srgbClr val="000000"/>
                          </a:solidFill>
                          <a:prstDash val="solid"/>
                          <a:miter/>
                          <a:headEnd type="none" w="med" len="med"/>
                          <a:tailEnd type="none" w="med" len="med"/>
                        </a:ln>
                        <a:effectLst/>
                      </wps:spPr>
                      <wps:txbx>
                        <w:txbxContent>
                          <w:p w14:paraId="271272B3">
                            <w:pPr>
                              <w:pStyle w:val="5"/>
                              <w:rPr>
                                <w:sz w:val="20"/>
                              </w:rPr>
                            </w:pPr>
                          </w:p>
                          <w:p w14:paraId="33B0F68E">
                            <w:pPr>
                              <w:pStyle w:val="5"/>
                              <w:spacing w:before="151"/>
                              <w:ind w:left="706" w:right="705"/>
                              <w:jc w:val="center"/>
                            </w:pPr>
                            <w:r>
                              <w:t>法定代表人</w:t>
                            </w:r>
                          </w:p>
                          <w:p w14:paraId="32A11C91">
                            <w:pPr>
                              <w:pStyle w:val="5"/>
                              <w:spacing w:before="43"/>
                              <w:ind w:left="706" w:right="707"/>
                              <w:jc w:val="center"/>
                            </w:pPr>
                            <w:r>
                              <w:t>居民身份证复印件粘贴处</w:t>
                            </w:r>
                          </w:p>
                          <w:p w14:paraId="1B580C9D">
                            <w:pPr>
                              <w:pStyle w:val="5"/>
                              <w:spacing w:before="9"/>
                              <w:rPr>
                                <w:sz w:val="27"/>
                              </w:rPr>
                            </w:pPr>
                          </w:p>
                          <w:p w14:paraId="517E3EC1">
                            <w:pPr>
                              <w:pStyle w:val="5"/>
                              <w:ind w:left="706" w:right="705"/>
                              <w:jc w:val="center"/>
                            </w:pPr>
                            <w:r>
                              <w:t>（正面）</w:t>
                            </w:r>
                          </w:p>
                        </w:txbxContent>
                      </wps:txbx>
                      <wps:bodyPr lIns="0" tIns="0" rIns="0" bIns="0" upright="1"/>
                    </wps:wsp>
                  </a:graphicData>
                </a:graphic>
              </wp:anchor>
            </w:drawing>
          </mc:Choice>
          <mc:Fallback>
            <w:pict>
              <v:shape id="_x0000_s1026" o:spid="_x0000_s1026" o:spt="202" type="#_x0000_t202" style="position:absolute;left:0pt;margin-left:74.3pt;margin-top:10.15pt;height:148.2pt;width:188.95pt;mso-position-horizontal-relative:page;mso-wrap-distance-bottom:0pt;mso-wrap-distance-top:0pt;z-index:-251650048;mso-width-relative:page;mso-height-relative:page;" filled="f" stroked="t" coordsize="21600,21600" o:gfxdata="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jL5yl2gAA&#10;AAoBAAAPAAAAAAAAAAEAIAAAACIAAABkcnMvZG93bnJldi54bWxQSwECFAAUAAAACACHTuJAJ4Es&#10;uRwCAABCBAAADgAAAAAAAAABACAAAAApAQAAZHJzL2Uyb0RvYy54bWxQSwUGAAAAAAYABgBZAQAA&#10;twUAAAAA&#10;">
                <v:fill on="f" focussize="0,0"/>
                <v:stroke color="#000000" joinstyle="miter"/>
                <v:imagedata o:title=""/>
                <o:lock v:ext="edit" aspectratio="f"/>
                <v:textbox inset="0mm,0mm,0mm,0mm">
                  <w:txbxContent>
                    <w:p w14:paraId="271272B3">
                      <w:pPr>
                        <w:pStyle w:val="5"/>
                        <w:rPr>
                          <w:sz w:val="20"/>
                        </w:rPr>
                      </w:pPr>
                    </w:p>
                    <w:p w14:paraId="33B0F68E">
                      <w:pPr>
                        <w:pStyle w:val="5"/>
                        <w:spacing w:before="151"/>
                        <w:ind w:left="706" w:right="705"/>
                        <w:jc w:val="center"/>
                      </w:pPr>
                      <w:r>
                        <w:t>法定代表人</w:t>
                      </w:r>
                    </w:p>
                    <w:p w14:paraId="32A11C91">
                      <w:pPr>
                        <w:pStyle w:val="5"/>
                        <w:spacing w:before="43"/>
                        <w:ind w:left="706" w:right="707"/>
                        <w:jc w:val="center"/>
                      </w:pPr>
                      <w:r>
                        <w:t>居民身份证复印件粘贴处</w:t>
                      </w:r>
                    </w:p>
                    <w:p w14:paraId="1B580C9D">
                      <w:pPr>
                        <w:pStyle w:val="5"/>
                        <w:spacing w:before="9"/>
                        <w:rPr>
                          <w:sz w:val="27"/>
                        </w:rPr>
                      </w:pPr>
                    </w:p>
                    <w:p w14:paraId="517E3EC1">
                      <w:pPr>
                        <w:pStyle w:val="5"/>
                        <w:ind w:left="706" w:right="705"/>
                        <w:jc w:val="center"/>
                      </w:pPr>
                      <w:r>
                        <w:t>（正面）</w:t>
                      </w:r>
                    </w:p>
                  </w:txbxContent>
                </v:textbox>
                <w10:wrap type="topAndBottom"/>
              </v:shape>
            </w:pict>
          </mc:Fallback>
        </mc:AlternateContent>
      </w:r>
      <w:r>
        <w:rPr>
          <w:lang w:val="en-US" w:bidi="ar-SA"/>
        </w:rPr>
        <mc:AlternateContent>
          <mc:Choice Requires="wps">
            <w:drawing>
              <wp:anchor distT="0" distB="0" distL="114300" distR="114300" simplePos="0" relativeHeight="251667456" behindDoc="1" locked="0" layoutInCell="1" allowOverlap="1">
                <wp:simplePos x="0" y="0"/>
                <wp:positionH relativeFrom="page">
                  <wp:posOffset>3629025</wp:posOffset>
                </wp:positionH>
                <wp:positionV relativeFrom="paragraph">
                  <wp:posOffset>128905</wp:posOffset>
                </wp:positionV>
                <wp:extent cx="2599690" cy="1924685"/>
                <wp:effectExtent l="5080" t="5080" r="5080" b="13335"/>
                <wp:wrapTopAndBottom/>
                <wp:docPr id="28" name="文本框 28"/>
                <wp:cNvGraphicFramePr/>
                <a:graphic xmlns:a="http://schemas.openxmlformats.org/drawingml/2006/main">
                  <a:graphicData uri="http://schemas.microsoft.com/office/word/2010/wordprocessingShape">
                    <wps:wsp>
                      <wps:cNvSpPr txBox="1"/>
                      <wps:spPr>
                        <a:xfrm>
                          <a:off x="0" y="0"/>
                          <a:ext cx="2599690" cy="1924685"/>
                        </a:xfrm>
                        <a:prstGeom prst="rect">
                          <a:avLst/>
                        </a:prstGeom>
                        <a:noFill/>
                        <a:ln w="9525" cap="flat" cmpd="sng">
                          <a:solidFill>
                            <a:srgbClr val="000000"/>
                          </a:solidFill>
                          <a:prstDash val="solid"/>
                          <a:miter/>
                          <a:headEnd type="none" w="med" len="med"/>
                          <a:tailEnd type="none" w="med" len="med"/>
                        </a:ln>
                        <a:effectLst/>
                      </wps:spPr>
                      <wps:txbx>
                        <w:txbxContent>
                          <w:p w14:paraId="7C602228">
                            <w:pPr>
                              <w:pStyle w:val="5"/>
                              <w:rPr>
                                <w:sz w:val="20"/>
                              </w:rPr>
                            </w:pPr>
                          </w:p>
                          <w:p w14:paraId="70F8AD4F">
                            <w:pPr>
                              <w:pStyle w:val="5"/>
                              <w:spacing w:before="151"/>
                              <w:ind w:left="867" w:right="858"/>
                              <w:jc w:val="center"/>
                            </w:pPr>
                            <w:r>
                              <w:t>法定代表人</w:t>
                            </w:r>
                          </w:p>
                          <w:p w14:paraId="2EDB5520">
                            <w:pPr>
                              <w:pStyle w:val="5"/>
                              <w:spacing w:before="43"/>
                              <w:ind w:left="867" w:right="861"/>
                              <w:jc w:val="center"/>
                            </w:pPr>
                            <w:r>
                              <w:t>居民身份证复印件粘贴处</w:t>
                            </w:r>
                          </w:p>
                          <w:p w14:paraId="45B76602">
                            <w:pPr>
                              <w:pStyle w:val="5"/>
                              <w:spacing w:before="9"/>
                              <w:rPr>
                                <w:sz w:val="27"/>
                              </w:rPr>
                            </w:pPr>
                          </w:p>
                          <w:p w14:paraId="01BA4A6C">
                            <w:pPr>
                              <w:pStyle w:val="5"/>
                              <w:ind w:left="867" w:right="858"/>
                              <w:jc w:val="center"/>
                            </w:pPr>
                            <w:r>
                              <w:t>（反面）</w:t>
                            </w:r>
                          </w:p>
                        </w:txbxContent>
                      </wps:txbx>
                      <wps:bodyPr lIns="0" tIns="0" rIns="0" bIns="0" upright="1"/>
                    </wps:wsp>
                  </a:graphicData>
                </a:graphic>
              </wp:anchor>
            </w:drawing>
          </mc:Choice>
          <mc:Fallback>
            <w:pict>
              <v:shape id="_x0000_s1026" o:spid="_x0000_s1026" o:spt="202" type="#_x0000_t202" style="position:absolute;left:0pt;margin-left:285.75pt;margin-top:10.15pt;height:151.55pt;width:204.7pt;mso-position-horizontal-relative:page;mso-wrap-distance-bottom:0pt;mso-wrap-distance-top:0pt;z-index:-251649024;mso-width-relative:page;mso-height-relative:page;" filled="f" stroked="t" coordsize="21600,21600" o:gfxdata="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LZGwhdsAAAAK&#10;AQAADwAAAAAAAAABACAAAAAiAAAAZHJzL2Rvd25yZXYueG1sUEsBAhQAFAAAAAgAh07iQAtv72UZ&#10;AgAAQgQAAA4AAAAAAAAAAQAgAAAAKgEAAGRycy9lMm9Eb2MueG1sUEsFBgAAAAAGAAYAWQEAALUF&#10;AAAAAA==&#10;">
                <v:fill on="f" focussize="0,0"/>
                <v:stroke color="#000000" joinstyle="miter"/>
                <v:imagedata o:title=""/>
                <o:lock v:ext="edit" aspectratio="f"/>
                <v:textbox inset="0mm,0mm,0mm,0mm">
                  <w:txbxContent>
                    <w:p w14:paraId="7C602228">
                      <w:pPr>
                        <w:pStyle w:val="5"/>
                        <w:rPr>
                          <w:sz w:val="20"/>
                        </w:rPr>
                      </w:pPr>
                    </w:p>
                    <w:p w14:paraId="70F8AD4F">
                      <w:pPr>
                        <w:pStyle w:val="5"/>
                        <w:spacing w:before="151"/>
                        <w:ind w:left="867" w:right="858"/>
                        <w:jc w:val="center"/>
                      </w:pPr>
                      <w:r>
                        <w:t>法定代表人</w:t>
                      </w:r>
                    </w:p>
                    <w:p w14:paraId="2EDB5520">
                      <w:pPr>
                        <w:pStyle w:val="5"/>
                        <w:spacing w:before="43"/>
                        <w:ind w:left="867" w:right="861"/>
                        <w:jc w:val="center"/>
                      </w:pPr>
                      <w:r>
                        <w:t>居民身份证复印件粘贴处</w:t>
                      </w:r>
                    </w:p>
                    <w:p w14:paraId="45B76602">
                      <w:pPr>
                        <w:pStyle w:val="5"/>
                        <w:spacing w:before="9"/>
                        <w:rPr>
                          <w:sz w:val="27"/>
                        </w:rPr>
                      </w:pPr>
                    </w:p>
                    <w:p w14:paraId="01BA4A6C">
                      <w:pPr>
                        <w:pStyle w:val="5"/>
                        <w:ind w:left="867" w:right="858"/>
                        <w:jc w:val="center"/>
                      </w:pPr>
                      <w:r>
                        <w:t>（反面）</w:t>
                      </w:r>
                    </w:p>
                  </w:txbxContent>
                </v:textbox>
                <w10:wrap type="topAndBottom"/>
              </v:shape>
            </w:pict>
          </mc:Fallback>
        </mc:AlternateContent>
      </w:r>
    </w:p>
    <w:p w14:paraId="347D1255">
      <w:pPr>
        <w:pStyle w:val="5"/>
        <w:spacing w:before="5"/>
        <w:rPr>
          <w:sz w:val="28"/>
        </w:rPr>
      </w:pPr>
    </w:p>
    <w:p w14:paraId="4358177C">
      <w:pPr>
        <w:pStyle w:val="5"/>
        <w:spacing w:line="446" w:lineRule="auto"/>
        <w:ind w:left="3445" w:right="3576"/>
      </w:pPr>
      <w:r>
        <w:t xml:space="preserve">投标人名称：（盖公章）： </w:t>
      </w:r>
    </w:p>
    <w:p w14:paraId="7B9217D2">
      <w:pPr>
        <w:pStyle w:val="5"/>
        <w:spacing w:line="446" w:lineRule="auto"/>
        <w:ind w:left="3445" w:right="3576"/>
      </w:pPr>
      <w:r>
        <w:t>地址：</w:t>
      </w:r>
    </w:p>
    <w:p w14:paraId="76FDEBF2">
      <w:pPr>
        <w:pStyle w:val="5"/>
        <w:ind w:left="3445"/>
        <w:rPr>
          <w:rFonts w:hint="eastAsia" w:eastAsia="宋体"/>
          <w:lang w:val="en-US" w:eastAsia="zh-CN"/>
        </w:rPr>
        <w:sectPr>
          <w:type w:val="continuous"/>
          <w:pgSz w:w="11910" w:h="16840"/>
          <w:pgMar w:top="1580" w:right="1340" w:bottom="280" w:left="1020" w:header="720" w:footer="720" w:gutter="0"/>
          <w:pgNumType w:fmt="decimal"/>
          <w:cols w:space="720" w:num="1"/>
        </w:sectPr>
      </w:pPr>
      <w:r>
        <w:t>日期</w:t>
      </w:r>
      <w:r>
        <w:rPr>
          <w:rFonts w:hint="eastAsia"/>
          <w:lang w:val="en-US" w:eastAsia="zh-CN"/>
        </w:rPr>
        <w:t>:</w:t>
      </w:r>
    </w:p>
    <w:p w14:paraId="65E76781">
      <w:pPr>
        <w:spacing w:before="133"/>
        <w:ind w:left="398"/>
        <w:rPr>
          <w:b/>
          <w:sz w:val="28"/>
        </w:rPr>
      </w:pPr>
      <w:r>
        <w:rPr>
          <w:b/>
          <w:sz w:val="28"/>
        </w:rPr>
        <w:t>格式</w:t>
      </w:r>
      <w:r>
        <w:rPr>
          <w:rFonts w:hint="eastAsia"/>
          <w:b/>
          <w:sz w:val="28"/>
        </w:rPr>
        <w:t>5</w:t>
      </w:r>
    </w:p>
    <w:p w14:paraId="5D1104CC">
      <w:pPr>
        <w:pStyle w:val="5"/>
        <w:rPr>
          <w:b/>
          <w:sz w:val="32"/>
        </w:rPr>
      </w:pPr>
      <w:r>
        <w:br w:type="column"/>
      </w:r>
    </w:p>
    <w:p w14:paraId="6D1E1127">
      <w:pPr>
        <w:spacing w:before="214"/>
        <w:ind w:left="398"/>
        <w:rPr>
          <w:b/>
          <w:sz w:val="32"/>
        </w:rPr>
      </w:pPr>
      <w:r>
        <w:rPr>
          <w:b/>
          <w:sz w:val="32"/>
        </w:rPr>
        <w:t>开标一览表(报价表)</w:t>
      </w:r>
    </w:p>
    <w:p w14:paraId="3728DBFB">
      <w:pPr>
        <w:rPr>
          <w:sz w:val="32"/>
        </w:rPr>
        <w:sectPr>
          <w:pgSz w:w="11910" w:h="16840"/>
          <w:pgMar w:top="1360" w:right="1340" w:bottom="1420" w:left="1020" w:header="567" w:footer="1216" w:gutter="0"/>
          <w:pgNumType w:fmt="decimal"/>
          <w:cols w:equalWidth="0" w:num="2">
            <w:col w:w="1141" w:space="1756"/>
            <w:col w:w="6653"/>
          </w:cols>
        </w:sectPr>
      </w:pPr>
    </w:p>
    <w:p w14:paraId="543E1AFF">
      <w:pPr>
        <w:pStyle w:val="5"/>
        <w:spacing w:before="4"/>
        <w:rPr>
          <w:b/>
          <w:sz w:val="19"/>
        </w:rPr>
      </w:pPr>
    </w:p>
    <w:p w14:paraId="1BB385C0">
      <w:pPr>
        <w:pStyle w:val="5"/>
        <w:tabs>
          <w:tab w:val="left" w:pos="5754"/>
        </w:tabs>
        <w:spacing w:before="71"/>
        <w:ind w:left="398"/>
      </w:pPr>
      <w:r>
        <w:t>投标</w:t>
      </w:r>
      <w:r>
        <w:rPr>
          <w:spacing w:val="-3"/>
        </w:rPr>
        <w:t>人</w:t>
      </w:r>
      <w:r>
        <w:t>名</w:t>
      </w:r>
      <w:r>
        <w:rPr>
          <w:spacing w:val="-3"/>
        </w:rPr>
        <w:t>称</w:t>
      </w:r>
      <w:r>
        <w:t>：</w:t>
      </w:r>
      <w:r>
        <w:tab/>
      </w:r>
    </w:p>
    <w:tbl>
      <w:tblPr>
        <w:tblStyle w:val="10"/>
        <w:tblW w:w="0" w:type="auto"/>
        <w:tblInd w:w="41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835"/>
        <w:gridCol w:w="2876"/>
        <w:gridCol w:w="2797"/>
      </w:tblGrid>
      <w:tr w14:paraId="7D0A80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27" w:hRule="atLeast"/>
        </w:trPr>
        <w:tc>
          <w:tcPr>
            <w:tcW w:w="2835" w:type="dxa"/>
            <w:tcBorders>
              <w:bottom w:val="double" w:color="000000" w:sz="0" w:space="0"/>
              <w:right w:val="single" w:color="000000" w:sz="4" w:space="0"/>
            </w:tcBorders>
            <w:shd w:val="clear" w:color="auto" w:fill="EDEBE0"/>
            <w:noWrap w:val="0"/>
            <w:vAlign w:val="top"/>
          </w:tcPr>
          <w:p w14:paraId="013D3862">
            <w:pPr>
              <w:pStyle w:val="15"/>
              <w:spacing w:before="1"/>
              <w:rPr>
                <w:sz w:val="26"/>
              </w:rPr>
            </w:pPr>
          </w:p>
          <w:p w14:paraId="2B16602A">
            <w:pPr>
              <w:pStyle w:val="15"/>
              <w:ind w:left="975" w:right="955"/>
              <w:jc w:val="center"/>
              <w:rPr>
                <w:b/>
                <w:sz w:val="21"/>
              </w:rPr>
            </w:pPr>
            <w:r>
              <w:rPr>
                <w:b/>
                <w:sz w:val="21"/>
              </w:rPr>
              <w:t>采购内容</w:t>
            </w:r>
          </w:p>
        </w:tc>
        <w:tc>
          <w:tcPr>
            <w:tcW w:w="2876" w:type="dxa"/>
            <w:tcBorders>
              <w:left w:val="single" w:color="000000" w:sz="4" w:space="0"/>
              <w:bottom w:val="double" w:color="000000" w:sz="0" w:space="0"/>
              <w:right w:val="single" w:color="000000" w:sz="4" w:space="0"/>
            </w:tcBorders>
            <w:shd w:val="clear" w:color="auto" w:fill="EDEBE0"/>
            <w:noWrap w:val="0"/>
            <w:vAlign w:val="top"/>
          </w:tcPr>
          <w:p w14:paraId="5E9A28D6">
            <w:pPr>
              <w:pStyle w:val="15"/>
              <w:spacing w:before="101"/>
              <w:ind w:left="741" w:right="714"/>
              <w:jc w:val="center"/>
              <w:rPr>
                <w:b/>
                <w:sz w:val="21"/>
              </w:rPr>
            </w:pPr>
            <w:r>
              <w:rPr>
                <w:b/>
                <w:sz w:val="21"/>
              </w:rPr>
              <w:t>投标报价</w:t>
            </w:r>
          </w:p>
          <w:p w14:paraId="67E6147F">
            <w:pPr>
              <w:pStyle w:val="15"/>
              <w:spacing w:before="7"/>
              <w:rPr>
                <w:sz w:val="15"/>
              </w:rPr>
            </w:pPr>
          </w:p>
          <w:p w14:paraId="7BA47A47">
            <w:pPr>
              <w:pStyle w:val="15"/>
              <w:ind w:left="741" w:right="714"/>
              <w:jc w:val="center"/>
              <w:rPr>
                <w:b/>
                <w:sz w:val="21"/>
              </w:rPr>
            </w:pPr>
            <w:r>
              <w:rPr>
                <w:b/>
                <w:sz w:val="21"/>
              </w:rPr>
              <w:t>（人民币 元）</w:t>
            </w:r>
          </w:p>
        </w:tc>
        <w:tc>
          <w:tcPr>
            <w:tcW w:w="2797" w:type="dxa"/>
            <w:tcBorders>
              <w:left w:val="single" w:color="000000" w:sz="4" w:space="0"/>
              <w:bottom w:val="double" w:color="000000" w:sz="0" w:space="0"/>
            </w:tcBorders>
            <w:shd w:val="clear" w:color="auto" w:fill="EDEBE0"/>
            <w:noWrap w:val="0"/>
            <w:vAlign w:val="top"/>
          </w:tcPr>
          <w:p w14:paraId="78A421A7">
            <w:pPr>
              <w:pStyle w:val="15"/>
              <w:spacing w:before="1"/>
              <w:rPr>
                <w:sz w:val="26"/>
              </w:rPr>
            </w:pPr>
          </w:p>
          <w:p w14:paraId="5085B8E4">
            <w:pPr>
              <w:pStyle w:val="15"/>
              <w:ind w:left="1069" w:right="1035"/>
              <w:jc w:val="center"/>
              <w:rPr>
                <w:b/>
                <w:sz w:val="21"/>
              </w:rPr>
            </w:pPr>
            <w:r>
              <w:rPr>
                <w:b/>
                <w:sz w:val="21"/>
              </w:rPr>
              <w:t>服务期</w:t>
            </w:r>
          </w:p>
        </w:tc>
      </w:tr>
      <w:tr w14:paraId="74B4CCE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2" w:hRule="atLeast"/>
        </w:trPr>
        <w:tc>
          <w:tcPr>
            <w:tcW w:w="2835" w:type="dxa"/>
            <w:tcBorders>
              <w:top w:val="double" w:color="000000" w:sz="0" w:space="0"/>
              <w:right w:val="single" w:color="000000" w:sz="4" w:space="0"/>
            </w:tcBorders>
            <w:noWrap w:val="0"/>
            <w:vAlign w:val="top"/>
          </w:tcPr>
          <w:p w14:paraId="2A10820F">
            <w:pPr>
              <w:pStyle w:val="15"/>
              <w:spacing w:before="11"/>
              <w:rPr>
                <w:sz w:val="16"/>
              </w:rPr>
            </w:pPr>
          </w:p>
          <w:p w14:paraId="2E92DC18">
            <w:pPr>
              <w:pStyle w:val="15"/>
              <w:spacing w:line="278" w:lineRule="auto"/>
              <w:ind w:left="575" w:right="46" w:hanging="447"/>
              <w:rPr>
                <w:sz w:val="21"/>
              </w:rPr>
            </w:pPr>
            <w:r>
              <w:rPr>
                <w:spacing w:val="0"/>
              </w:rPr>
              <w:t xml:space="preserve"> </w:t>
            </w:r>
            <w:r>
              <w:rPr>
                <w:rFonts w:hint="eastAsia"/>
              </w:rPr>
              <w:t>2024年广州医科大学附属妇女儿童医疗中心官网升级改版项目</w:t>
            </w:r>
          </w:p>
        </w:tc>
        <w:tc>
          <w:tcPr>
            <w:tcW w:w="2876" w:type="dxa"/>
            <w:tcBorders>
              <w:top w:val="double" w:color="000000" w:sz="0" w:space="0"/>
              <w:left w:val="single" w:color="000000" w:sz="4" w:space="0"/>
              <w:right w:val="single" w:color="000000" w:sz="4" w:space="0"/>
            </w:tcBorders>
            <w:noWrap w:val="0"/>
            <w:vAlign w:val="top"/>
          </w:tcPr>
          <w:p w14:paraId="5639A4BB">
            <w:pPr>
              <w:pStyle w:val="15"/>
              <w:tabs>
                <w:tab w:val="left" w:pos="2872"/>
              </w:tabs>
              <w:spacing w:before="137"/>
              <w:ind w:left="117" w:right="-15"/>
              <w:rPr>
                <w:sz w:val="21"/>
              </w:rPr>
            </w:pPr>
            <w:r>
              <w:rPr>
                <w:spacing w:val="-1"/>
                <w:sz w:val="21"/>
              </w:rPr>
              <w:t>小写：RMB</w:t>
            </w:r>
            <w:r>
              <w:rPr>
                <w:spacing w:val="-1"/>
                <w:sz w:val="21"/>
                <w:u w:val="single"/>
              </w:rPr>
              <w:t xml:space="preserve"> </w:t>
            </w:r>
            <w:r>
              <w:rPr>
                <w:spacing w:val="-1"/>
                <w:sz w:val="21"/>
                <w:u w:val="single"/>
              </w:rPr>
              <w:tab/>
            </w:r>
          </w:p>
          <w:p w14:paraId="3B26C4F6">
            <w:pPr>
              <w:pStyle w:val="15"/>
              <w:spacing w:before="7"/>
              <w:rPr>
                <w:sz w:val="15"/>
              </w:rPr>
            </w:pPr>
          </w:p>
          <w:p w14:paraId="0C3CD153">
            <w:pPr>
              <w:pStyle w:val="15"/>
              <w:tabs>
                <w:tab w:val="left" w:pos="2824"/>
              </w:tabs>
              <w:ind w:left="117"/>
              <w:rPr>
                <w:rFonts w:ascii="Times New Roman" w:eastAsia="Times New Roman"/>
                <w:sz w:val="21"/>
              </w:rPr>
            </w:pPr>
            <w:r>
              <w:rPr>
                <w:sz w:val="21"/>
              </w:rPr>
              <w:t>大写</w:t>
            </w:r>
            <w:r>
              <w:rPr>
                <w:spacing w:val="-3"/>
                <w:sz w:val="21"/>
              </w:rPr>
              <w:t>：</w:t>
            </w:r>
            <w:r>
              <w:rPr>
                <w:rFonts w:ascii="Times New Roman" w:eastAsia="Times New Roman"/>
                <w:sz w:val="21"/>
                <w:u w:val="single"/>
              </w:rPr>
              <w:t xml:space="preserve"> </w:t>
            </w:r>
            <w:r>
              <w:rPr>
                <w:rFonts w:ascii="Times New Roman" w:eastAsia="Times New Roman"/>
                <w:sz w:val="21"/>
                <w:u w:val="single"/>
              </w:rPr>
              <w:tab/>
            </w:r>
          </w:p>
        </w:tc>
        <w:tc>
          <w:tcPr>
            <w:tcW w:w="2797" w:type="dxa"/>
            <w:tcBorders>
              <w:top w:val="double" w:color="000000" w:sz="0" w:space="0"/>
              <w:left w:val="single" w:color="000000" w:sz="4" w:space="0"/>
            </w:tcBorders>
            <w:noWrap w:val="0"/>
            <w:vAlign w:val="top"/>
          </w:tcPr>
          <w:p w14:paraId="6FDF8205">
            <w:pPr>
              <w:pStyle w:val="15"/>
              <w:spacing w:before="11"/>
              <w:rPr>
                <w:sz w:val="16"/>
              </w:rPr>
            </w:pPr>
          </w:p>
          <w:p w14:paraId="0D455DF2">
            <w:pPr>
              <w:pStyle w:val="15"/>
              <w:spacing w:line="278" w:lineRule="auto"/>
              <w:ind w:left="671" w:right="149" w:hanging="360"/>
              <w:rPr>
                <w:sz w:val="21"/>
              </w:rPr>
            </w:pPr>
            <w:r>
              <w:rPr>
                <w:sz w:val="21"/>
              </w:rPr>
              <w:t>自合同签订之日起一年或</w:t>
            </w:r>
            <w:r>
              <w:rPr>
                <w:rFonts w:hint="eastAsia"/>
                <w:sz w:val="21"/>
                <w:lang w:val="en-US" w:eastAsia="zh-CN"/>
              </w:rPr>
              <w:t>本</w:t>
            </w:r>
            <w:r>
              <w:rPr>
                <w:sz w:val="21"/>
              </w:rPr>
              <w:t>项目完成</w:t>
            </w:r>
          </w:p>
        </w:tc>
      </w:tr>
    </w:tbl>
    <w:p w14:paraId="2EF4001D">
      <w:pPr>
        <w:pStyle w:val="5"/>
        <w:rPr>
          <w:sz w:val="20"/>
        </w:rPr>
      </w:pPr>
    </w:p>
    <w:p w14:paraId="2864F32E">
      <w:pPr>
        <w:pStyle w:val="5"/>
        <w:rPr>
          <w:sz w:val="20"/>
        </w:rPr>
      </w:pPr>
    </w:p>
    <w:p w14:paraId="005CE554">
      <w:pPr>
        <w:pStyle w:val="5"/>
        <w:rPr>
          <w:rFonts w:hint="eastAsia" w:eastAsia="宋体"/>
          <w:sz w:val="20"/>
          <w:lang w:val="en-US" w:eastAsia="zh-Hans"/>
        </w:rPr>
      </w:pPr>
    </w:p>
    <w:p w14:paraId="0EFB6E64">
      <w:pPr>
        <w:pStyle w:val="5"/>
        <w:rPr>
          <w:sz w:val="20"/>
        </w:rPr>
      </w:pPr>
    </w:p>
    <w:p w14:paraId="740FB911">
      <w:pPr>
        <w:pStyle w:val="5"/>
        <w:rPr>
          <w:sz w:val="20"/>
        </w:rPr>
      </w:pPr>
    </w:p>
    <w:p w14:paraId="0A3EEA24">
      <w:pPr>
        <w:pStyle w:val="5"/>
        <w:rPr>
          <w:sz w:val="20"/>
        </w:rPr>
      </w:pPr>
    </w:p>
    <w:p w14:paraId="6234FA38">
      <w:pPr>
        <w:pStyle w:val="5"/>
        <w:tabs>
          <w:tab w:val="left" w:pos="6123"/>
        </w:tabs>
        <w:spacing w:before="154"/>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0EE1B8B4">
      <w:pPr>
        <w:pStyle w:val="5"/>
        <w:rPr>
          <w:rFonts w:ascii="Times New Roman"/>
          <w:sz w:val="20"/>
        </w:rPr>
      </w:pPr>
    </w:p>
    <w:p w14:paraId="7992DDC3">
      <w:pPr>
        <w:pStyle w:val="5"/>
        <w:spacing w:before="9"/>
        <w:rPr>
          <w:rFonts w:ascii="Times New Roman"/>
        </w:rPr>
      </w:pPr>
    </w:p>
    <w:p w14:paraId="673E4992">
      <w:pPr>
        <w:pStyle w:val="5"/>
        <w:tabs>
          <w:tab w:val="left" w:pos="6327"/>
          <w:tab w:val="left" w:pos="7997"/>
          <w:tab w:val="left" w:pos="9136"/>
        </w:tabs>
        <w:spacing w:before="78"/>
        <w:ind w:left="398"/>
        <w:rPr>
          <w:rFonts w:ascii="Times New Roman" w:eastAsia="Times New Roman"/>
        </w:r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r>
        <w:rPr>
          <w:rFonts w:ascii="Times New Roman" w:eastAsia="Times New Roman"/>
          <w:u w:val="single"/>
        </w:rPr>
        <w:t xml:space="preserve"> </w:t>
      </w:r>
      <w:r>
        <w:rPr>
          <w:rFonts w:ascii="Times New Roman" w:eastAsia="Times New Roman"/>
          <w:u w:val="single"/>
        </w:rPr>
        <w:tab/>
      </w:r>
    </w:p>
    <w:p w14:paraId="4D48C778">
      <w:pPr>
        <w:pStyle w:val="5"/>
        <w:rPr>
          <w:rFonts w:ascii="Times New Roman"/>
          <w:sz w:val="20"/>
        </w:rPr>
      </w:pPr>
    </w:p>
    <w:p w14:paraId="2590E454">
      <w:pPr>
        <w:pStyle w:val="5"/>
        <w:rPr>
          <w:rFonts w:ascii="Times New Roman"/>
          <w:sz w:val="22"/>
        </w:rPr>
      </w:pPr>
    </w:p>
    <w:p w14:paraId="2D6A7EB6">
      <w:pPr>
        <w:spacing w:before="71"/>
        <w:ind w:left="398"/>
        <w:rPr>
          <w:b/>
          <w:sz w:val="21"/>
        </w:rPr>
      </w:pPr>
      <w:r>
        <w:rPr>
          <w:b/>
          <w:sz w:val="21"/>
        </w:rPr>
        <w:t>备注：</w:t>
      </w:r>
    </w:p>
    <w:p w14:paraId="083A1E8F">
      <w:pPr>
        <w:pStyle w:val="14"/>
        <w:numPr>
          <w:ilvl w:val="0"/>
          <w:numId w:val="21"/>
        </w:numPr>
        <w:tabs>
          <w:tab w:val="left" w:pos="759"/>
        </w:tabs>
        <w:spacing w:before="24"/>
        <w:ind w:hanging="361"/>
        <w:rPr>
          <w:b/>
          <w:sz w:val="21"/>
        </w:rPr>
      </w:pPr>
      <w:r>
        <w:rPr>
          <w:b/>
          <w:spacing w:val="-3"/>
          <w:sz w:val="21"/>
        </w:rPr>
        <w:t>此表须附在正、副本的投标文件中，并另封装一份于开标小信封中。</w:t>
      </w:r>
    </w:p>
    <w:p w14:paraId="0EBFF087">
      <w:pPr>
        <w:pStyle w:val="14"/>
        <w:numPr>
          <w:ilvl w:val="0"/>
          <w:numId w:val="21"/>
        </w:numPr>
        <w:tabs>
          <w:tab w:val="left" w:pos="759"/>
        </w:tabs>
        <w:spacing w:before="139"/>
        <w:ind w:hanging="361"/>
        <w:rPr>
          <w:b/>
          <w:sz w:val="21"/>
        </w:rPr>
      </w:pPr>
      <w:r>
        <w:rPr>
          <w:b/>
          <w:spacing w:val="-1"/>
          <w:sz w:val="21"/>
        </w:rPr>
        <w:t>此表内投标报价为最终价。</w:t>
      </w:r>
    </w:p>
    <w:p w14:paraId="10994697">
      <w:pPr>
        <w:pStyle w:val="14"/>
        <w:numPr>
          <w:ilvl w:val="0"/>
          <w:numId w:val="21"/>
        </w:numPr>
        <w:tabs>
          <w:tab w:val="left" w:pos="759"/>
        </w:tabs>
        <w:spacing w:before="139"/>
        <w:ind w:hanging="361"/>
        <w:rPr>
          <w:b/>
          <w:sz w:val="21"/>
        </w:rPr>
      </w:pPr>
      <w:r>
        <w:rPr>
          <w:b/>
          <w:spacing w:val="-3"/>
          <w:sz w:val="21"/>
        </w:rPr>
        <w:t>投标报价要求具体见第二章“投标报价”要求。</w:t>
      </w:r>
    </w:p>
    <w:p w14:paraId="22D7E1C8">
      <w:pPr>
        <w:rPr>
          <w:sz w:val="21"/>
        </w:rPr>
        <w:sectPr>
          <w:type w:val="continuous"/>
          <w:pgSz w:w="11910" w:h="16840"/>
          <w:pgMar w:top="1580" w:right="1340" w:bottom="280" w:left="1020" w:header="720" w:footer="720" w:gutter="0"/>
          <w:pgNumType w:fmt="decimal"/>
          <w:cols w:space="720" w:num="1"/>
        </w:sectPr>
      </w:pPr>
    </w:p>
    <w:p w14:paraId="4BEA72CE">
      <w:pPr>
        <w:spacing w:line="367" w:lineRule="auto"/>
        <w:rPr>
          <w:sz w:val="21"/>
        </w:rPr>
        <w:sectPr>
          <w:type w:val="continuous"/>
          <w:pgSz w:w="11910" w:h="16840"/>
          <w:pgMar w:top="1580" w:right="1340" w:bottom="280" w:left="1020" w:header="720" w:footer="720" w:gutter="0"/>
          <w:pgNumType w:fmt="decimal"/>
          <w:cols w:space="720" w:num="1"/>
        </w:sectPr>
      </w:pPr>
    </w:p>
    <w:p w14:paraId="41BD1BC2">
      <w:pPr>
        <w:spacing w:before="133"/>
        <w:ind w:left="398"/>
        <w:rPr>
          <w:rFonts w:hint="default"/>
          <w:b/>
          <w:sz w:val="28"/>
        </w:rPr>
      </w:pPr>
      <w:r>
        <w:rPr>
          <w:b/>
          <w:sz w:val="28"/>
        </w:rPr>
        <w:t>格式</w:t>
      </w:r>
      <w:r>
        <w:rPr>
          <w:rFonts w:hint="default"/>
          <w:b/>
          <w:sz w:val="28"/>
        </w:rPr>
        <w:t>6</w:t>
      </w:r>
    </w:p>
    <w:p w14:paraId="7825BE43">
      <w:pPr>
        <w:pStyle w:val="5"/>
        <w:rPr>
          <w:b/>
          <w:sz w:val="32"/>
        </w:rPr>
      </w:pPr>
      <w:r>
        <w:br w:type="column"/>
      </w:r>
    </w:p>
    <w:p w14:paraId="093B31B0">
      <w:pPr>
        <w:spacing w:before="214"/>
        <w:ind w:left="398"/>
        <w:rPr>
          <w:b/>
          <w:sz w:val="32"/>
        </w:rPr>
      </w:pPr>
      <w:r>
        <w:rPr>
          <w:b/>
          <w:sz w:val="32"/>
        </w:rPr>
        <w:t>投标服务方案</w:t>
      </w:r>
    </w:p>
    <w:p w14:paraId="0BDE8B74">
      <w:pPr>
        <w:rPr>
          <w:sz w:val="32"/>
        </w:rPr>
        <w:sectPr>
          <w:pgSz w:w="11910" w:h="16840"/>
          <w:pgMar w:top="1360" w:right="1340" w:bottom="1420" w:left="1020" w:header="567" w:footer="1216" w:gutter="0"/>
          <w:pgNumType w:fmt="decimal"/>
          <w:cols w:equalWidth="0" w:num="2">
            <w:col w:w="1141" w:space="2238"/>
            <w:col w:w="6171"/>
          </w:cols>
        </w:sectPr>
      </w:pPr>
    </w:p>
    <w:p w14:paraId="19E6B622">
      <w:pPr>
        <w:pStyle w:val="5"/>
        <w:spacing w:before="4"/>
        <w:rPr>
          <w:b/>
          <w:sz w:val="19"/>
        </w:rPr>
      </w:pPr>
    </w:p>
    <w:p w14:paraId="3AD44267">
      <w:pPr>
        <w:spacing w:before="71"/>
        <w:ind w:left="398"/>
        <w:rPr>
          <w:b/>
          <w:sz w:val="21"/>
        </w:rPr>
      </w:pPr>
      <w:r>
        <w:rPr>
          <w:b/>
          <w:sz w:val="21"/>
        </w:rPr>
        <w:t>主要内容应包括但不限于以下内容（格式自定）：</w:t>
      </w:r>
    </w:p>
    <w:p w14:paraId="1686C0E6">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CN" w:bidi="ar"/>
        </w:rPr>
        <w:t>1</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val="en-US" w:eastAsia="zh-CN" w:bidi="ar"/>
        </w:rPr>
        <w:t>网站升级的性能指标及技术参数响应情况</w:t>
      </w:r>
    </w:p>
    <w:p w14:paraId="372DE753">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CN" w:bidi="ar"/>
        </w:rPr>
        <w:t>2</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val="en-US" w:eastAsia="zh-CN" w:bidi="ar"/>
        </w:rPr>
        <w:t>提供方案设计图和功能DE</w:t>
      </w:r>
      <w:r>
        <w:rPr>
          <w:rFonts w:hint="eastAsia" w:ascii="宋体" w:hAnsi="宋体" w:eastAsia="宋体" w:cs="宋体"/>
          <w:i w:val="0"/>
          <w:iCs w:val="0"/>
          <w:color w:val="0000FF"/>
          <w:kern w:val="0"/>
          <w:sz w:val="21"/>
          <w:szCs w:val="21"/>
          <w:u w:val="none"/>
          <w:lang w:val="en-US" w:eastAsia="zh-Hans" w:bidi="ar"/>
        </w:rPr>
        <w:t>M</w:t>
      </w:r>
      <w:r>
        <w:rPr>
          <w:rFonts w:hint="eastAsia" w:ascii="宋体" w:hAnsi="宋体" w:eastAsia="宋体" w:cs="宋体"/>
          <w:i w:val="0"/>
          <w:iCs w:val="0"/>
          <w:color w:val="0000FF"/>
          <w:kern w:val="0"/>
          <w:sz w:val="21"/>
          <w:szCs w:val="21"/>
          <w:u w:val="none"/>
          <w:lang w:val="en-US" w:eastAsia="zh-CN" w:bidi="ar"/>
        </w:rPr>
        <w:t>O页面</w:t>
      </w:r>
    </w:p>
    <w:p w14:paraId="3285E931">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Hans" w:bidi="ar"/>
        </w:rPr>
        <w:t>3</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eastAsia="zh-CN" w:bidi="ar"/>
        </w:rPr>
        <w:t>技术培训支持</w:t>
      </w:r>
    </w:p>
    <w:p w14:paraId="1EB4730C">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CN" w:bidi="ar"/>
        </w:rPr>
        <w:t>4</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eastAsia="zh-CN" w:bidi="ar"/>
        </w:rPr>
        <w:t>日常巡查方案</w:t>
      </w:r>
    </w:p>
    <w:p w14:paraId="4B1BC586">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CN" w:bidi="ar"/>
        </w:rPr>
        <w:t>5</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eastAsia="zh-CN" w:bidi="ar"/>
        </w:rPr>
        <w:t>总体方案</w:t>
      </w:r>
    </w:p>
    <w:p w14:paraId="36B3B563">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val="en-US" w:eastAsia="zh-Hans" w:bidi="ar"/>
        </w:rPr>
      </w:pPr>
      <w:r>
        <w:rPr>
          <w:rFonts w:hint="eastAsia" w:ascii="宋体" w:hAnsi="宋体" w:eastAsia="宋体" w:cs="宋体"/>
          <w:i w:val="0"/>
          <w:iCs w:val="0"/>
          <w:color w:val="0000FF"/>
          <w:kern w:val="0"/>
          <w:sz w:val="21"/>
          <w:szCs w:val="21"/>
          <w:u w:val="none"/>
          <w:lang w:eastAsia="zh-Hans" w:bidi="ar"/>
        </w:rPr>
        <w:t>6</w:t>
      </w:r>
      <w:r>
        <w:rPr>
          <w:rFonts w:hint="eastAsia" w:ascii="宋体" w:hAnsi="宋体" w:eastAsia="宋体" w:cs="宋体"/>
          <w:i w:val="0"/>
          <w:iCs w:val="0"/>
          <w:color w:val="0000FF"/>
          <w:kern w:val="0"/>
          <w:sz w:val="21"/>
          <w:szCs w:val="21"/>
          <w:u w:val="none"/>
          <w:lang w:val="en-US" w:eastAsia="zh-Hans" w:bidi="ar"/>
        </w:rPr>
        <w:t>.英文网站建设能力</w:t>
      </w:r>
    </w:p>
    <w:p w14:paraId="6A652A46">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CN" w:bidi="ar"/>
        </w:rPr>
        <w:t>7</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val="en-US" w:eastAsia="zh-CN" w:bidi="ar"/>
        </w:rPr>
        <w:t>工作进度安排、突发应急预案、服务质量及保障措施</w:t>
      </w:r>
      <w:r>
        <w:rPr>
          <w:rFonts w:hint="eastAsia" w:ascii="宋体" w:hAnsi="宋体" w:eastAsia="宋体" w:cs="宋体"/>
          <w:i w:val="0"/>
          <w:iCs w:val="0"/>
          <w:color w:val="0000FF"/>
          <w:kern w:val="0"/>
          <w:sz w:val="21"/>
          <w:szCs w:val="21"/>
          <w:u w:val="none"/>
          <w:lang w:eastAsia="zh-CN" w:bidi="ar"/>
        </w:rPr>
        <w:t>；</w:t>
      </w:r>
    </w:p>
    <w:p w14:paraId="3FCD00DD">
      <w:pPr>
        <w:pStyle w:val="14"/>
        <w:numPr>
          <w:ilvl w:val="0"/>
          <w:numId w:val="0"/>
        </w:numPr>
        <w:tabs>
          <w:tab w:val="left" w:pos="1392"/>
          <w:tab w:val="left" w:pos="1393"/>
        </w:tabs>
        <w:spacing w:before="139"/>
        <w:ind w:firstLine="420" w:firstLineChars="0"/>
        <w:rPr>
          <w:rFonts w:hint="eastAsia" w:ascii="宋体" w:hAnsi="宋体" w:eastAsia="宋体" w:cs="宋体"/>
          <w:i w:val="0"/>
          <w:iCs w:val="0"/>
          <w:color w:val="0000FF"/>
          <w:kern w:val="0"/>
          <w:sz w:val="21"/>
          <w:szCs w:val="21"/>
          <w:u w:val="none"/>
          <w:lang w:eastAsia="zh-CN" w:bidi="ar"/>
        </w:rPr>
      </w:pPr>
      <w:r>
        <w:rPr>
          <w:rFonts w:hint="eastAsia" w:ascii="宋体" w:hAnsi="宋体" w:eastAsia="宋体" w:cs="宋体"/>
          <w:i w:val="0"/>
          <w:iCs w:val="0"/>
          <w:color w:val="0000FF"/>
          <w:kern w:val="0"/>
          <w:sz w:val="21"/>
          <w:szCs w:val="21"/>
          <w:u w:val="none"/>
          <w:lang w:eastAsia="zh-CN" w:bidi="ar"/>
        </w:rPr>
        <w:t>8</w:t>
      </w:r>
      <w:r>
        <w:rPr>
          <w:rFonts w:hint="eastAsia" w:ascii="宋体" w:hAnsi="宋体" w:eastAsia="宋体" w:cs="宋体"/>
          <w:i w:val="0"/>
          <w:iCs w:val="0"/>
          <w:color w:val="0000FF"/>
          <w:kern w:val="0"/>
          <w:sz w:val="21"/>
          <w:szCs w:val="21"/>
          <w:u w:val="none"/>
          <w:lang w:val="en-US" w:eastAsia="zh-Hans" w:bidi="ar"/>
        </w:rPr>
        <w:t>.</w:t>
      </w:r>
      <w:r>
        <w:rPr>
          <w:rFonts w:hint="eastAsia" w:ascii="宋体" w:hAnsi="宋体" w:eastAsia="宋体" w:cs="宋体"/>
          <w:i w:val="0"/>
          <w:iCs w:val="0"/>
          <w:color w:val="0000FF"/>
          <w:kern w:val="0"/>
          <w:sz w:val="21"/>
          <w:szCs w:val="21"/>
          <w:u w:val="none"/>
          <w:lang w:eastAsia="zh-CN" w:bidi="ar"/>
        </w:rPr>
        <w:t>投标人认为对投标有利的其他资料。</w:t>
      </w:r>
    </w:p>
    <w:p w14:paraId="7F94389B">
      <w:pPr>
        <w:pStyle w:val="5"/>
        <w:ind w:firstLine="420" w:firstLineChars="0"/>
        <w:rPr>
          <w:sz w:val="20"/>
        </w:rPr>
      </w:pPr>
    </w:p>
    <w:p w14:paraId="00F78EE1">
      <w:pPr>
        <w:pStyle w:val="5"/>
        <w:rPr>
          <w:sz w:val="20"/>
        </w:rPr>
      </w:pPr>
    </w:p>
    <w:p w14:paraId="2D45339C">
      <w:pPr>
        <w:pStyle w:val="5"/>
        <w:rPr>
          <w:sz w:val="20"/>
        </w:rPr>
      </w:pPr>
    </w:p>
    <w:p w14:paraId="61DB4DC5">
      <w:pPr>
        <w:pStyle w:val="5"/>
        <w:rPr>
          <w:sz w:val="20"/>
        </w:rPr>
      </w:pPr>
    </w:p>
    <w:p w14:paraId="6FE3A671">
      <w:pPr>
        <w:pStyle w:val="5"/>
        <w:spacing w:before="10"/>
        <w:rPr>
          <w:sz w:val="23"/>
        </w:rPr>
      </w:pPr>
    </w:p>
    <w:p w14:paraId="6D452569">
      <w:pPr>
        <w:pStyle w:val="5"/>
        <w:tabs>
          <w:tab w:val="left" w:pos="6123"/>
        </w:tabs>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7014B78C">
      <w:pPr>
        <w:pStyle w:val="5"/>
        <w:rPr>
          <w:rFonts w:ascii="Times New Roman"/>
          <w:sz w:val="20"/>
        </w:rPr>
      </w:pPr>
    </w:p>
    <w:p w14:paraId="038AB943">
      <w:pPr>
        <w:pStyle w:val="5"/>
        <w:spacing w:before="1"/>
        <w:rPr>
          <w:rFonts w:ascii="Times New Roman"/>
          <w:sz w:val="20"/>
        </w:rPr>
      </w:pPr>
    </w:p>
    <w:p w14:paraId="6FF03826">
      <w:pPr>
        <w:pStyle w:val="5"/>
        <w:tabs>
          <w:tab w:val="left" w:pos="6327"/>
          <w:tab w:val="left" w:pos="7997"/>
          <w:tab w:val="left" w:pos="9136"/>
        </w:tabs>
        <w:ind w:left="398"/>
        <w:rPr>
          <w:rFonts w:ascii="Times New Roman" w:eastAsia="Times New Roman"/>
        </w:r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r>
        <w:rPr>
          <w:rFonts w:ascii="Times New Roman" w:eastAsia="Times New Roman"/>
          <w:u w:val="single"/>
        </w:rPr>
        <w:t xml:space="preserve"> </w:t>
      </w:r>
      <w:r>
        <w:rPr>
          <w:rFonts w:ascii="Times New Roman" w:eastAsia="Times New Roman"/>
          <w:u w:val="single"/>
        </w:rPr>
        <w:tab/>
      </w:r>
    </w:p>
    <w:p w14:paraId="05B612C4">
      <w:pPr>
        <w:rPr>
          <w:rFonts w:ascii="Times New Roman" w:eastAsia="Times New Roman"/>
        </w:rPr>
        <w:sectPr>
          <w:type w:val="continuous"/>
          <w:pgSz w:w="11910" w:h="16840"/>
          <w:pgMar w:top="1580" w:right="1340" w:bottom="280" w:left="1020" w:header="720" w:footer="720" w:gutter="0"/>
          <w:pgNumType w:fmt="decimal"/>
          <w:cols w:space="720" w:num="1"/>
        </w:sectPr>
      </w:pPr>
    </w:p>
    <w:p w14:paraId="74D8EEA9">
      <w:pPr>
        <w:spacing w:before="133"/>
        <w:ind w:left="398"/>
        <w:rPr>
          <w:rFonts w:hint="default"/>
          <w:b/>
          <w:sz w:val="28"/>
        </w:rPr>
      </w:pPr>
      <w:r>
        <w:rPr>
          <w:b/>
          <w:sz w:val="28"/>
        </w:rPr>
        <w:t>格式</w:t>
      </w:r>
      <w:r>
        <w:rPr>
          <w:rFonts w:hint="default"/>
          <w:b/>
          <w:sz w:val="28"/>
        </w:rPr>
        <w:t>7</w:t>
      </w:r>
    </w:p>
    <w:p w14:paraId="379CA54F">
      <w:pPr>
        <w:pStyle w:val="5"/>
        <w:rPr>
          <w:b/>
          <w:sz w:val="32"/>
        </w:rPr>
      </w:pPr>
      <w:r>
        <w:br w:type="column"/>
      </w:r>
    </w:p>
    <w:p w14:paraId="2E853B42">
      <w:pPr>
        <w:spacing w:before="214"/>
        <w:ind w:left="398"/>
        <w:rPr>
          <w:b/>
          <w:sz w:val="32"/>
        </w:rPr>
      </w:pPr>
      <w:r>
        <w:rPr>
          <w:b/>
          <w:sz w:val="32"/>
        </w:rPr>
        <w:t>投标人基本情况表</w:t>
      </w:r>
    </w:p>
    <w:p w14:paraId="05BFFDAA">
      <w:pPr>
        <w:rPr>
          <w:sz w:val="32"/>
        </w:rPr>
        <w:sectPr>
          <w:pgSz w:w="11910" w:h="16840"/>
          <w:pgMar w:top="1360" w:right="1340" w:bottom="1420" w:left="1020" w:header="567" w:footer="1216" w:gutter="0"/>
          <w:pgNumType w:fmt="decimal"/>
          <w:cols w:equalWidth="0" w:num="2">
            <w:col w:w="1141" w:space="1917"/>
            <w:col w:w="6492"/>
          </w:cols>
        </w:sectPr>
      </w:pPr>
    </w:p>
    <w:p w14:paraId="21A3A019">
      <w:pPr>
        <w:pStyle w:val="5"/>
        <w:rPr>
          <w:b/>
          <w:sz w:val="27"/>
        </w:rPr>
      </w:pPr>
    </w:p>
    <w:p w14:paraId="7A6245F4">
      <w:pPr>
        <w:pStyle w:val="5"/>
        <w:spacing w:before="71"/>
        <w:ind w:left="398"/>
      </w:pPr>
      <w:r>
        <w:t>一、公司基本情况</w:t>
      </w:r>
    </w:p>
    <w:p w14:paraId="47AFCFD0">
      <w:pPr>
        <w:pStyle w:val="5"/>
        <w:spacing w:before="7"/>
        <w:rPr>
          <w:sz w:val="15"/>
        </w:rPr>
      </w:pPr>
    </w:p>
    <w:p w14:paraId="39EB4FE1">
      <w:pPr>
        <w:pStyle w:val="14"/>
        <w:numPr>
          <w:ilvl w:val="0"/>
          <w:numId w:val="22"/>
        </w:numPr>
        <w:tabs>
          <w:tab w:val="left" w:pos="818"/>
          <w:tab w:val="left" w:pos="819"/>
          <w:tab w:val="left" w:pos="4284"/>
          <w:tab w:val="left" w:pos="7796"/>
        </w:tabs>
        <w:ind w:hanging="421"/>
        <w:rPr>
          <w:rFonts w:ascii="Times New Roman" w:eastAsia="Times New Roman"/>
          <w:sz w:val="21"/>
        </w:rPr>
      </w:pPr>
      <w:r>
        <w:rPr>
          <w:sz w:val="21"/>
        </w:rPr>
        <w:t>公司</w:t>
      </w:r>
      <w:r>
        <w:rPr>
          <w:spacing w:val="-3"/>
          <w:sz w:val="21"/>
        </w:rPr>
        <w:t>名</w:t>
      </w:r>
      <w:r>
        <w:rPr>
          <w:sz w:val="21"/>
        </w:rPr>
        <w:t>称</w:t>
      </w:r>
      <w:r>
        <w:rPr>
          <w:spacing w:val="-3"/>
          <w:sz w:val="21"/>
        </w:rPr>
        <w:t>：</w:t>
      </w:r>
      <w:r>
        <w:rPr>
          <w:spacing w:val="-3"/>
          <w:sz w:val="21"/>
          <w:u w:val="single"/>
        </w:rPr>
        <w:t xml:space="preserve"> </w:t>
      </w:r>
      <w:r>
        <w:rPr>
          <w:spacing w:val="-3"/>
          <w:sz w:val="21"/>
          <w:u w:val="single"/>
        </w:rPr>
        <w:tab/>
      </w:r>
      <w:r>
        <w:rPr>
          <w:spacing w:val="-1"/>
          <w:sz w:val="21"/>
        </w:rPr>
        <w:t>电</w:t>
      </w:r>
      <w:r>
        <w:rPr>
          <w:spacing w:val="-3"/>
          <w:sz w:val="21"/>
        </w:rPr>
        <w:t>话</w:t>
      </w:r>
      <w:r>
        <w:rPr>
          <w:sz w:val="21"/>
        </w:rPr>
        <w:t>号</w:t>
      </w:r>
      <w:r>
        <w:rPr>
          <w:spacing w:val="-3"/>
          <w:sz w:val="21"/>
        </w:rPr>
        <w:t>码</w:t>
      </w:r>
      <w:r>
        <w:rPr>
          <w:sz w:val="21"/>
        </w:rPr>
        <w:t>：</w:t>
      </w:r>
      <w:r>
        <w:rPr>
          <w:rFonts w:ascii="Times New Roman" w:eastAsia="Times New Roman"/>
          <w:sz w:val="21"/>
          <w:u w:val="single"/>
        </w:rPr>
        <w:t xml:space="preserve"> </w:t>
      </w:r>
      <w:r>
        <w:rPr>
          <w:rFonts w:ascii="Times New Roman" w:eastAsia="Times New Roman"/>
          <w:sz w:val="21"/>
          <w:u w:val="single"/>
        </w:rPr>
        <w:tab/>
      </w:r>
    </w:p>
    <w:p w14:paraId="4DFB753F">
      <w:pPr>
        <w:pStyle w:val="5"/>
        <w:spacing w:before="6"/>
        <w:rPr>
          <w:rFonts w:ascii="Times New Roman"/>
          <w:sz w:val="10"/>
        </w:rPr>
      </w:pPr>
    </w:p>
    <w:p w14:paraId="0F9E7A34">
      <w:pPr>
        <w:pStyle w:val="14"/>
        <w:numPr>
          <w:ilvl w:val="0"/>
          <w:numId w:val="22"/>
        </w:numPr>
        <w:tabs>
          <w:tab w:val="left" w:pos="818"/>
          <w:tab w:val="left" w:pos="819"/>
          <w:tab w:val="left" w:pos="1449"/>
          <w:tab w:val="left" w:pos="4284"/>
          <w:tab w:val="left" w:pos="4916"/>
          <w:tab w:val="left" w:pos="7796"/>
        </w:tabs>
        <w:spacing w:before="78"/>
        <w:ind w:hanging="421"/>
        <w:rPr>
          <w:rFonts w:ascii="Times New Roman" w:eastAsia="Times New Roman"/>
          <w:sz w:val="21"/>
        </w:rPr>
      </w:pPr>
      <w:r>
        <w:rPr>
          <w:sz w:val="21"/>
        </w:rPr>
        <w:t>地</w:t>
      </w:r>
      <w:r>
        <w:rPr>
          <w:sz w:val="21"/>
        </w:rPr>
        <w:tab/>
      </w:r>
      <w:r>
        <w:rPr>
          <w:sz w:val="21"/>
        </w:rPr>
        <w:t>址</w:t>
      </w:r>
      <w:r>
        <w:rPr>
          <w:spacing w:val="-3"/>
          <w:sz w:val="21"/>
        </w:rPr>
        <w:t>：</w:t>
      </w:r>
      <w:r>
        <w:rPr>
          <w:spacing w:val="-3"/>
          <w:sz w:val="21"/>
          <w:u w:val="single"/>
        </w:rPr>
        <w:t xml:space="preserve"> </w:t>
      </w:r>
      <w:r>
        <w:rPr>
          <w:spacing w:val="-3"/>
          <w:sz w:val="21"/>
          <w:u w:val="single"/>
        </w:rPr>
        <w:tab/>
      </w:r>
      <w:r>
        <w:rPr>
          <w:sz w:val="21"/>
        </w:rPr>
        <w:t>传</w:t>
      </w:r>
      <w:r>
        <w:rPr>
          <w:sz w:val="21"/>
        </w:rPr>
        <w:tab/>
      </w:r>
      <w:r>
        <w:rPr>
          <w:spacing w:val="-3"/>
          <w:sz w:val="21"/>
        </w:rPr>
        <w:t>真</w:t>
      </w:r>
      <w:r>
        <w:rPr>
          <w:sz w:val="21"/>
        </w:rPr>
        <w:t>：</w:t>
      </w:r>
      <w:r>
        <w:rPr>
          <w:rFonts w:ascii="Times New Roman" w:eastAsia="Times New Roman"/>
          <w:sz w:val="21"/>
          <w:u w:val="single"/>
        </w:rPr>
        <w:t xml:space="preserve"> </w:t>
      </w:r>
      <w:r>
        <w:rPr>
          <w:rFonts w:ascii="Times New Roman" w:eastAsia="Times New Roman"/>
          <w:sz w:val="21"/>
          <w:u w:val="single"/>
        </w:rPr>
        <w:tab/>
      </w:r>
    </w:p>
    <w:p w14:paraId="058190F6">
      <w:pPr>
        <w:pStyle w:val="5"/>
        <w:spacing w:before="6"/>
        <w:rPr>
          <w:rFonts w:ascii="Times New Roman"/>
          <w:sz w:val="10"/>
        </w:rPr>
      </w:pPr>
    </w:p>
    <w:p w14:paraId="3445A8FD">
      <w:pPr>
        <w:pStyle w:val="14"/>
        <w:numPr>
          <w:ilvl w:val="0"/>
          <w:numId w:val="22"/>
        </w:numPr>
        <w:tabs>
          <w:tab w:val="left" w:pos="818"/>
          <w:tab w:val="left" w:pos="819"/>
          <w:tab w:val="left" w:pos="4284"/>
          <w:tab w:val="left" w:pos="7796"/>
        </w:tabs>
        <w:spacing w:before="78"/>
        <w:ind w:hanging="421"/>
        <w:rPr>
          <w:rFonts w:ascii="Times New Roman" w:eastAsia="Times New Roman"/>
          <w:sz w:val="21"/>
        </w:rPr>
      </w:pPr>
      <w:r>
        <w:rPr>
          <w:sz w:val="21"/>
        </w:rPr>
        <w:t>注册</w:t>
      </w:r>
      <w:r>
        <w:rPr>
          <w:spacing w:val="-3"/>
          <w:sz w:val="21"/>
        </w:rPr>
        <w:t>资</w:t>
      </w:r>
      <w:r>
        <w:rPr>
          <w:sz w:val="21"/>
        </w:rPr>
        <w:t>金</w:t>
      </w:r>
      <w:r>
        <w:rPr>
          <w:spacing w:val="-3"/>
          <w:sz w:val="21"/>
        </w:rPr>
        <w:t>：</w:t>
      </w:r>
      <w:r>
        <w:rPr>
          <w:spacing w:val="-3"/>
          <w:sz w:val="21"/>
          <w:u w:val="single"/>
        </w:rPr>
        <w:t xml:space="preserve"> </w:t>
      </w:r>
      <w:r>
        <w:rPr>
          <w:spacing w:val="-3"/>
          <w:sz w:val="21"/>
          <w:u w:val="single"/>
        </w:rPr>
        <w:tab/>
      </w:r>
      <w:r>
        <w:rPr>
          <w:spacing w:val="-1"/>
          <w:sz w:val="21"/>
        </w:rPr>
        <w:t>经</w:t>
      </w:r>
      <w:r>
        <w:rPr>
          <w:spacing w:val="-3"/>
          <w:sz w:val="21"/>
        </w:rPr>
        <w:t>济</w:t>
      </w:r>
      <w:r>
        <w:rPr>
          <w:sz w:val="21"/>
        </w:rPr>
        <w:t>性</w:t>
      </w:r>
      <w:r>
        <w:rPr>
          <w:spacing w:val="-3"/>
          <w:sz w:val="21"/>
        </w:rPr>
        <w:t>质</w:t>
      </w:r>
      <w:r>
        <w:rPr>
          <w:sz w:val="21"/>
        </w:rPr>
        <w:t>：</w:t>
      </w:r>
      <w:r>
        <w:rPr>
          <w:rFonts w:ascii="Times New Roman" w:eastAsia="Times New Roman"/>
          <w:sz w:val="21"/>
          <w:u w:val="single"/>
        </w:rPr>
        <w:t xml:space="preserve"> </w:t>
      </w:r>
      <w:r>
        <w:rPr>
          <w:rFonts w:ascii="Times New Roman" w:eastAsia="Times New Roman"/>
          <w:sz w:val="21"/>
          <w:u w:val="single"/>
        </w:rPr>
        <w:tab/>
      </w:r>
    </w:p>
    <w:p w14:paraId="31011FAE">
      <w:pPr>
        <w:pStyle w:val="5"/>
        <w:spacing w:before="5"/>
        <w:rPr>
          <w:rFonts w:ascii="Times New Roman"/>
          <w:sz w:val="10"/>
        </w:rPr>
      </w:pPr>
    </w:p>
    <w:p w14:paraId="16CFC0F2">
      <w:pPr>
        <w:pStyle w:val="14"/>
        <w:numPr>
          <w:ilvl w:val="0"/>
          <w:numId w:val="22"/>
        </w:numPr>
        <w:tabs>
          <w:tab w:val="left" w:pos="818"/>
          <w:tab w:val="left" w:pos="819"/>
          <w:tab w:val="left" w:pos="5804"/>
        </w:tabs>
        <w:spacing w:before="79"/>
        <w:ind w:hanging="421"/>
        <w:rPr>
          <w:rFonts w:ascii="Times New Roman" w:eastAsia="Times New Roman"/>
          <w:sz w:val="21"/>
        </w:rPr>
      </w:pPr>
      <w:r>
        <w:rPr>
          <w:sz w:val="21"/>
        </w:rPr>
        <w:t>公司</w:t>
      </w:r>
      <w:r>
        <w:rPr>
          <w:spacing w:val="-3"/>
          <w:sz w:val="21"/>
        </w:rPr>
        <w:t>开</w:t>
      </w:r>
      <w:r>
        <w:rPr>
          <w:sz w:val="21"/>
        </w:rPr>
        <w:t>户</w:t>
      </w:r>
      <w:r>
        <w:rPr>
          <w:spacing w:val="-3"/>
          <w:sz w:val="21"/>
        </w:rPr>
        <w:t>银</w:t>
      </w:r>
      <w:r>
        <w:rPr>
          <w:sz w:val="21"/>
        </w:rPr>
        <w:t>行</w:t>
      </w:r>
      <w:r>
        <w:rPr>
          <w:spacing w:val="-3"/>
          <w:sz w:val="21"/>
        </w:rPr>
        <w:t>名</w:t>
      </w:r>
      <w:r>
        <w:rPr>
          <w:sz w:val="21"/>
        </w:rPr>
        <w:t>称</w:t>
      </w:r>
      <w:r>
        <w:rPr>
          <w:spacing w:val="-3"/>
          <w:sz w:val="21"/>
        </w:rPr>
        <w:t>及</w:t>
      </w:r>
      <w:r>
        <w:rPr>
          <w:sz w:val="21"/>
        </w:rPr>
        <w:t>账</w:t>
      </w:r>
      <w:r>
        <w:rPr>
          <w:spacing w:val="-3"/>
          <w:sz w:val="21"/>
        </w:rPr>
        <w:t>号</w:t>
      </w:r>
      <w:r>
        <w:rPr>
          <w:sz w:val="21"/>
        </w:rPr>
        <w:t>：</w:t>
      </w:r>
      <w:r>
        <w:rPr>
          <w:rFonts w:ascii="Times New Roman" w:eastAsia="Times New Roman"/>
          <w:sz w:val="21"/>
          <w:u w:val="single"/>
        </w:rPr>
        <w:t xml:space="preserve"> </w:t>
      </w:r>
      <w:r>
        <w:rPr>
          <w:rFonts w:ascii="Times New Roman" w:eastAsia="Times New Roman"/>
          <w:sz w:val="21"/>
          <w:u w:val="single"/>
        </w:rPr>
        <w:tab/>
      </w:r>
    </w:p>
    <w:p w14:paraId="31055D85">
      <w:pPr>
        <w:pStyle w:val="5"/>
        <w:spacing w:before="5"/>
        <w:rPr>
          <w:rFonts w:ascii="Times New Roman"/>
          <w:sz w:val="10"/>
        </w:rPr>
      </w:pPr>
    </w:p>
    <w:p w14:paraId="1C184193">
      <w:pPr>
        <w:pStyle w:val="14"/>
        <w:numPr>
          <w:ilvl w:val="0"/>
          <w:numId w:val="22"/>
        </w:numPr>
        <w:tabs>
          <w:tab w:val="left" w:pos="818"/>
          <w:tab w:val="left" w:pos="819"/>
          <w:tab w:val="left" w:pos="4963"/>
        </w:tabs>
        <w:spacing w:before="79"/>
        <w:ind w:hanging="421"/>
        <w:rPr>
          <w:rFonts w:ascii="Times New Roman" w:eastAsia="Times New Roman"/>
          <w:sz w:val="21"/>
        </w:rPr>
      </w:pPr>
      <w:r>
        <w:rPr>
          <w:spacing w:val="-1"/>
          <w:sz w:val="21"/>
        </w:rPr>
        <w:t>营</w:t>
      </w:r>
      <w:r>
        <w:rPr>
          <w:sz w:val="21"/>
        </w:rPr>
        <w:t>业</w:t>
      </w:r>
      <w:r>
        <w:rPr>
          <w:spacing w:val="-3"/>
          <w:sz w:val="21"/>
        </w:rPr>
        <w:t>注</w:t>
      </w:r>
      <w:r>
        <w:rPr>
          <w:sz w:val="21"/>
        </w:rPr>
        <w:t>册</w:t>
      </w:r>
      <w:r>
        <w:rPr>
          <w:spacing w:val="-3"/>
          <w:sz w:val="21"/>
        </w:rPr>
        <w:t>执</w:t>
      </w:r>
      <w:r>
        <w:rPr>
          <w:sz w:val="21"/>
        </w:rPr>
        <w:t>照</w:t>
      </w:r>
      <w:r>
        <w:rPr>
          <w:spacing w:val="-3"/>
          <w:sz w:val="21"/>
        </w:rPr>
        <w:t>号</w:t>
      </w:r>
      <w:r>
        <w:rPr>
          <w:sz w:val="21"/>
        </w:rPr>
        <w:t>：</w:t>
      </w:r>
      <w:r>
        <w:rPr>
          <w:rFonts w:ascii="Times New Roman" w:eastAsia="Times New Roman"/>
          <w:sz w:val="21"/>
          <w:u w:val="single"/>
        </w:rPr>
        <w:t xml:space="preserve"> </w:t>
      </w:r>
      <w:r>
        <w:rPr>
          <w:rFonts w:ascii="Times New Roman" w:eastAsia="Times New Roman"/>
          <w:sz w:val="21"/>
          <w:u w:val="single"/>
        </w:rPr>
        <w:tab/>
      </w:r>
    </w:p>
    <w:p w14:paraId="0592551B">
      <w:pPr>
        <w:pStyle w:val="5"/>
        <w:spacing w:before="1"/>
        <w:rPr>
          <w:rFonts w:ascii="Times New Roman"/>
          <w:sz w:val="11"/>
        </w:rPr>
      </w:pPr>
    </w:p>
    <w:p w14:paraId="206ECC17">
      <w:pPr>
        <w:pStyle w:val="14"/>
        <w:numPr>
          <w:ilvl w:val="0"/>
          <w:numId w:val="22"/>
        </w:numPr>
        <w:tabs>
          <w:tab w:val="left" w:pos="818"/>
          <w:tab w:val="left" w:pos="819"/>
        </w:tabs>
        <w:spacing w:before="72"/>
        <w:ind w:hanging="421"/>
        <w:rPr>
          <w:sz w:val="21"/>
        </w:rPr>
      </w:pPr>
      <w:r>
        <w:rPr>
          <w:spacing w:val="-1"/>
          <w:sz w:val="21"/>
        </w:rPr>
        <w:t>公司简介</w:t>
      </w:r>
    </w:p>
    <w:p w14:paraId="01479697">
      <w:pPr>
        <w:pStyle w:val="5"/>
        <w:spacing w:before="6"/>
        <w:rPr>
          <w:sz w:val="15"/>
        </w:rPr>
      </w:pPr>
    </w:p>
    <w:p w14:paraId="574B0C39">
      <w:pPr>
        <w:pStyle w:val="5"/>
        <w:spacing w:before="1" w:line="417" w:lineRule="auto"/>
        <w:ind w:left="758" w:right="734"/>
      </w:pPr>
      <w:r>
        <w:t>文字描述：发展历程、经营规模及服务理念、技术力量、财务状况、管理水平等方面进行阐述。</w:t>
      </w:r>
    </w:p>
    <w:p w14:paraId="0A06B0FA">
      <w:pPr>
        <w:pStyle w:val="5"/>
        <w:spacing w:before="1" w:line="417" w:lineRule="auto"/>
        <w:ind w:left="758" w:right="734"/>
      </w:pPr>
    </w:p>
    <w:p w14:paraId="0D53B041">
      <w:pPr>
        <w:pStyle w:val="5"/>
        <w:spacing w:before="1" w:line="417" w:lineRule="auto"/>
        <w:ind w:left="758" w:right="734"/>
      </w:pPr>
    </w:p>
    <w:p w14:paraId="68D0EE77">
      <w:pPr>
        <w:pStyle w:val="5"/>
        <w:ind w:left="398"/>
      </w:pPr>
      <w:r>
        <w:t>我/我们声明以上所述是正确无误的，您有权进行您认为必要的所有调查。</w:t>
      </w:r>
    </w:p>
    <w:p w14:paraId="089C2838">
      <w:pPr>
        <w:pStyle w:val="5"/>
        <w:rPr>
          <w:sz w:val="20"/>
        </w:rPr>
      </w:pPr>
    </w:p>
    <w:p w14:paraId="0131D104">
      <w:pPr>
        <w:pStyle w:val="5"/>
        <w:rPr>
          <w:sz w:val="20"/>
        </w:rPr>
      </w:pPr>
    </w:p>
    <w:p w14:paraId="6B841514">
      <w:pPr>
        <w:pStyle w:val="5"/>
        <w:rPr>
          <w:sz w:val="20"/>
        </w:rPr>
      </w:pPr>
    </w:p>
    <w:p w14:paraId="2F785D7A">
      <w:pPr>
        <w:pStyle w:val="5"/>
        <w:rPr>
          <w:sz w:val="20"/>
        </w:rPr>
      </w:pPr>
    </w:p>
    <w:p w14:paraId="097D2E76">
      <w:pPr>
        <w:pStyle w:val="5"/>
        <w:spacing w:before="10"/>
        <w:rPr>
          <w:sz w:val="23"/>
        </w:rPr>
      </w:pPr>
    </w:p>
    <w:p w14:paraId="20AB1A99">
      <w:pPr>
        <w:pStyle w:val="5"/>
        <w:tabs>
          <w:tab w:val="left" w:pos="6123"/>
        </w:tabs>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3D754515">
      <w:pPr>
        <w:pStyle w:val="5"/>
        <w:rPr>
          <w:rFonts w:ascii="Times New Roman"/>
          <w:sz w:val="20"/>
        </w:rPr>
      </w:pPr>
    </w:p>
    <w:p w14:paraId="73297C74">
      <w:pPr>
        <w:pStyle w:val="5"/>
        <w:spacing w:before="1"/>
        <w:rPr>
          <w:rFonts w:ascii="Times New Roman"/>
          <w:sz w:val="20"/>
        </w:rPr>
      </w:pPr>
    </w:p>
    <w:p w14:paraId="20025994">
      <w:pPr>
        <w:pStyle w:val="5"/>
        <w:tabs>
          <w:tab w:val="left" w:pos="6327"/>
          <w:tab w:val="left" w:pos="7997"/>
          <w:tab w:val="left" w:pos="9136"/>
        </w:tabs>
        <w:ind w:left="398"/>
        <w:rPr>
          <w:rFonts w:ascii="Times New Roman" w:eastAsia="Times New Roman"/>
        </w:r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r>
        <w:rPr>
          <w:rFonts w:ascii="Times New Roman" w:eastAsia="Times New Roman"/>
          <w:u w:val="single"/>
        </w:rPr>
        <w:t xml:space="preserve"> </w:t>
      </w:r>
      <w:r>
        <w:rPr>
          <w:rFonts w:ascii="Times New Roman" w:eastAsia="Times New Roman"/>
          <w:u w:val="single"/>
        </w:rPr>
        <w:tab/>
      </w:r>
    </w:p>
    <w:p w14:paraId="5F9223E4">
      <w:pPr>
        <w:rPr>
          <w:rFonts w:ascii="Times New Roman" w:eastAsia="Times New Roman"/>
        </w:rPr>
        <w:sectPr>
          <w:type w:val="continuous"/>
          <w:pgSz w:w="11910" w:h="16840"/>
          <w:pgMar w:top="1580" w:right="1340" w:bottom="280" w:left="1020" w:header="720" w:footer="720" w:gutter="0"/>
          <w:pgNumType w:fmt="decimal"/>
          <w:cols w:space="720" w:num="1"/>
        </w:sectPr>
      </w:pPr>
    </w:p>
    <w:p w14:paraId="7FFB2476">
      <w:pPr>
        <w:rPr>
          <w:rFonts w:ascii="Times New Roman" w:eastAsia="Times New Roman"/>
        </w:rPr>
        <w:sectPr>
          <w:type w:val="continuous"/>
          <w:pgSz w:w="11910" w:h="16840"/>
          <w:pgMar w:top="1580" w:right="1340" w:bottom="280" w:left="1020" w:header="720" w:footer="720" w:gutter="0"/>
          <w:pgNumType w:fmt="decimal"/>
          <w:cols w:space="720" w:num="1"/>
        </w:sectPr>
      </w:pPr>
    </w:p>
    <w:p w14:paraId="7AE3B301">
      <w:pPr>
        <w:spacing w:before="133"/>
        <w:ind w:left="398"/>
        <w:rPr>
          <w:rFonts w:hint="default"/>
          <w:b/>
          <w:sz w:val="28"/>
        </w:rPr>
      </w:pPr>
      <w:r>
        <w:rPr>
          <w:b/>
          <w:sz w:val="28"/>
        </w:rPr>
        <w:t>格式</w:t>
      </w:r>
      <w:r>
        <w:rPr>
          <w:rFonts w:hint="default"/>
          <w:b/>
          <w:sz w:val="28"/>
        </w:rPr>
        <w:t>8</w:t>
      </w:r>
    </w:p>
    <w:p w14:paraId="113E77C9">
      <w:pPr>
        <w:pStyle w:val="5"/>
        <w:rPr>
          <w:b/>
          <w:sz w:val="32"/>
        </w:rPr>
      </w:pPr>
      <w:r>
        <w:br w:type="column"/>
      </w:r>
    </w:p>
    <w:p w14:paraId="4E7185AE">
      <w:pPr>
        <w:spacing w:before="214"/>
        <w:ind w:left="398"/>
        <w:rPr>
          <w:b/>
          <w:sz w:val="32"/>
        </w:rPr>
      </w:pPr>
      <w:r>
        <w:rPr>
          <w:b/>
          <w:sz w:val="32"/>
        </w:rPr>
        <w:t>用户需求响应一览表</w:t>
      </w:r>
    </w:p>
    <w:p w14:paraId="0E46DF0E">
      <w:pPr>
        <w:rPr>
          <w:sz w:val="32"/>
        </w:rPr>
        <w:sectPr>
          <w:pgSz w:w="11910" w:h="16840"/>
          <w:pgMar w:top="1360" w:right="1340" w:bottom="1420" w:left="1020" w:header="567" w:footer="1216" w:gutter="0"/>
          <w:pgNumType w:fmt="decimal"/>
          <w:cols w:equalWidth="0" w:num="2">
            <w:col w:w="1284" w:space="1613"/>
            <w:col w:w="6653"/>
          </w:cols>
        </w:sectPr>
      </w:pPr>
    </w:p>
    <w:p w14:paraId="41AA85E1">
      <w:pPr>
        <w:pStyle w:val="5"/>
        <w:rPr>
          <w:b/>
          <w:sz w:val="27"/>
        </w:rPr>
      </w:pPr>
    </w:p>
    <w:p w14:paraId="3A544D5C">
      <w:pPr>
        <w:pStyle w:val="5"/>
        <w:spacing w:before="71"/>
        <w:ind w:left="398"/>
      </w:pPr>
      <w:r>
        <w:t>说明：投标人必须对应招标文件的用户需求书条款逐条应答并按要求填写下表。</w:t>
      </w:r>
    </w:p>
    <w:p w14:paraId="32A85375">
      <w:pPr>
        <w:pStyle w:val="5"/>
        <w:spacing w:before="7"/>
        <w:rPr>
          <w:sz w:val="15"/>
        </w:rPr>
      </w:pPr>
    </w:p>
    <w:p w14:paraId="0A358B2E">
      <w:pPr>
        <w:pStyle w:val="5"/>
        <w:tabs>
          <w:tab w:val="left" w:pos="5439"/>
        </w:tabs>
        <w:ind w:left="398"/>
      </w:pPr>
      <w:r>
        <w:t>投标</w:t>
      </w:r>
      <w:r>
        <w:rPr>
          <w:spacing w:val="-3"/>
        </w:rPr>
        <w:t>人</w:t>
      </w:r>
      <w:r>
        <w:t>名</w:t>
      </w:r>
      <w:r>
        <w:rPr>
          <w:spacing w:val="-3"/>
        </w:rPr>
        <w:t>称</w:t>
      </w:r>
      <w:r>
        <w:t>：</w:t>
      </w:r>
      <w:r>
        <w:tab/>
      </w:r>
    </w:p>
    <w:p w14:paraId="0D5E5EFA">
      <w:pPr>
        <w:pStyle w:val="5"/>
        <w:spacing w:before="9"/>
        <w:rPr>
          <w:sz w:val="7"/>
        </w:rPr>
      </w:pPr>
    </w:p>
    <w:tbl>
      <w:tblPr>
        <w:tblStyle w:val="10"/>
        <w:tblW w:w="0" w:type="auto"/>
        <w:tblInd w:w="54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6"/>
        <w:gridCol w:w="2826"/>
        <w:gridCol w:w="2795"/>
        <w:gridCol w:w="2111"/>
      </w:tblGrid>
      <w:tr w14:paraId="4984CD7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5" w:hRule="atLeast"/>
        </w:trPr>
        <w:tc>
          <w:tcPr>
            <w:tcW w:w="706" w:type="dxa"/>
            <w:tcBorders>
              <w:bottom w:val="single" w:color="000000" w:sz="6" w:space="0"/>
              <w:right w:val="single" w:color="000000" w:sz="6" w:space="0"/>
            </w:tcBorders>
            <w:shd w:val="clear" w:color="auto" w:fill="EDEBE0"/>
            <w:noWrap w:val="0"/>
            <w:vAlign w:val="top"/>
          </w:tcPr>
          <w:p w14:paraId="5D442151">
            <w:pPr>
              <w:pStyle w:val="15"/>
              <w:spacing w:before="5"/>
              <w:rPr>
                <w:sz w:val="29"/>
              </w:rPr>
            </w:pPr>
          </w:p>
          <w:p w14:paraId="54F4EE61">
            <w:pPr>
              <w:pStyle w:val="15"/>
              <w:spacing w:before="1"/>
              <w:ind w:left="121" w:right="101"/>
              <w:jc w:val="center"/>
              <w:rPr>
                <w:sz w:val="21"/>
              </w:rPr>
            </w:pPr>
            <w:r>
              <w:rPr>
                <w:sz w:val="21"/>
              </w:rPr>
              <w:t>序号</w:t>
            </w:r>
          </w:p>
        </w:tc>
        <w:tc>
          <w:tcPr>
            <w:tcW w:w="2826" w:type="dxa"/>
            <w:tcBorders>
              <w:left w:val="single" w:color="000000" w:sz="6" w:space="0"/>
              <w:bottom w:val="single" w:color="000000" w:sz="6" w:space="0"/>
              <w:right w:val="single" w:color="000000" w:sz="6" w:space="0"/>
            </w:tcBorders>
            <w:shd w:val="clear" w:color="auto" w:fill="EDEBE0"/>
            <w:noWrap w:val="0"/>
            <w:vAlign w:val="top"/>
          </w:tcPr>
          <w:p w14:paraId="6726B604">
            <w:pPr>
              <w:pStyle w:val="15"/>
              <w:spacing w:before="1"/>
              <w:rPr>
                <w:sz w:val="26"/>
              </w:rPr>
            </w:pPr>
          </w:p>
          <w:p w14:paraId="48ED4C55">
            <w:pPr>
              <w:pStyle w:val="15"/>
              <w:ind w:left="892"/>
              <w:rPr>
                <w:sz w:val="21"/>
              </w:rPr>
            </w:pPr>
            <w:r>
              <w:rPr>
                <w:sz w:val="21"/>
              </w:rPr>
              <w:t>原条款描述</w:t>
            </w:r>
          </w:p>
        </w:tc>
        <w:tc>
          <w:tcPr>
            <w:tcW w:w="2795" w:type="dxa"/>
            <w:tcBorders>
              <w:left w:val="single" w:color="000000" w:sz="6" w:space="0"/>
              <w:bottom w:val="single" w:color="000000" w:sz="6" w:space="0"/>
              <w:right w:val="single" w:color="000000" w:sz="6" w:space="0"/>
            </w:tcBorders>
            <w:shd w:val="clear" w:color="auto" w:fill="EDEBE0"/>
            <w:noWrap w:val="0"/>
            <w:vAlign w:val="top"/>
          </w:tcPr>
          <w:p w14:paraId="4BA1CAEB">
            <w:pPr>
              <w:pStyle w:val="15"/>
              <w:spacing w:before="1"/>
              <w:rPr>
                <w:sz w:val="26"/>
              </w:rPr>
            </w:pPr>
          </w:p>
          <w:p w14:paraId="5667FF37">
            <w:pPr>
              <w:pStyle w:val="15"/>
              <w:ind w:left="665"/>
              <w:rPr>
                <w:sz w:val="21"/>
              </w:rPr>
            </w:pPr>
            <w:r>
              <w:rPr>
                <w:sz w:val="21"/>
              </w:rPr>
              <w:t>投标人响应描述</w:t>
            </w:r>
          </w:p>
        </w:tc>
        <w:tc>
          <w:tcPr>
            <w:tcW w:w="2111" w:type="dxa"/>
            <w:tcBorders>
              <w:left w:val="single" w:color="000000" w:sz="6" w:space="0"/>
              <w:bottom w:val="single" w:color="000000" w:sz="6" w:space="0"/>
            </w:tcBorders>
            <w:shd w:val="clear" w:color="auto" w:fill="EDEBE0"/>
            <w:noWrap w:val="0"/>
            <w:vAlign w:val="top"/>
          </w:tcPr>
          <w:p w14:paraId="40E8A4AF">
            <w:pPr>
              <w:pStyle w:val="15"/>
              <w:spacing w:before="22"/>
              <w:ind w:left="109" w:right="81"/>
              <w:jc w:val="center"/>
              <w:rPr>
                <w:sz w:val="21"/>
              </w:rPr>
            </w:pPr>
            <w:r>
              <w:rPr>
                <w:sz w:val="21"/>
              </w:rPr>
              <w:t>偏离情况说明</w:t>
            </w:r>
          </w:p>
          <w:p w14:paraId="4063D316">
            <w:pPr>
              <w:pStyle w:val="15"/>
              <w:spacing w:before="2" w:line="310" w:lineRule="atLeast"/>
              <w:ind w:left="110" w:right="81"/>
              <w:jc w:val="center"/>
              <w:rPr>
                <w:sz w:val="21"/>
              </w:rPr>
            </w:pPr>
            <w:r>
              <w:rPr>
                <w:sz w:val="21"/>
              </w:rPr>
              <w:t>（正偏离/完全响应/ 负偏离）</w:t>
            </w:r>
          </w:p>
        </w:tc>
      </w:tr>
      <w:tr w14:paraId="56E8D57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6" w:type="dxa"/>
            <w:tcBorders>
              <w:top w:val="single" w:color="000000" w:sz="6" w:space="0"/>
              <w:bottom w:val="single" w:color="000000" w:sz="6" w:space="0"/>
              <w:right w:val="single" w:color="000000" w:sz="6" w:space="0"/>
            </w:tcBorders>
            <w:noWrap w:val="0"/>
            <w:vAlign w:val="top"/>
          </w:tcPr>
          <w:p w14:paraId="550972D0">
            <w:pPr>
              <w:pStyle w:val="15"/>
              <w:spacing w:before="111"/>
              <w:ind w:right="39"/>
              <w:jc w:val="center"/>
              <w:rPr>
                <w:sz w:val="21"/>
              </w:rPr>
            </w:pPr>
            <w:r>
              <w:rPr>
                <w:sz w:val="21"/>
              </w:rPr>
              <w:t>1</w:t>
            </w:r>
          </w:p>
        </w:tc>
        <w:tc>
          <w:tcPr>
            <w:tcW w:w="2826" w:type="dxa"/>
            <w:tcBorders>
              <w:top w:val="single" w:color="000000" w:sz="6" w:space="0"/>
              <w:left w:val="single" w:color="000000" w:sz="6" w:space="0"/>
              <w:bottom w:val="single" w:color="000000" w:sz="6" w:space="0"/>
              <w:right w:val="single" w:color="000000" w:sz="6" w:space="0"/>
            </w:tcBorders>
            <w:noWrap w:val="0"/>
            <w:vAlign w:val="top"/>
          </w:tcPr>
          <w:p w14:paraId="0BD7425A">
            <w:pPr>
              <w:pStyle w:val="15"/>
              <w:spacing w:before="68"/>
              <w:ind w:left="114"/>
              <w:rPr>
                <w:sz w:val="21"/>
              </w:rPr>
            </w:pPr>
            <w:r>
              <w:rPr>
                <w:sz w:val="21"/>
              </w:rPr>
              <w:t>项目概况</w:t>
            </w:r>
          </w:p>
        </w:tc>
        <w:tc>
          <w:tcPr>
            <w:tcW w:w="2795" w:type="dxa"/>
            <w:tcBorders>
              <w:top w:val="single" w:color="000000" w:sz="6" w:space="0"/>
              <w:left w:val="single" w:color="000000" w:sz="6" w:space="0"/>
              <w:bottom w:val="single" w:color="000000" w:sz="6" w:space="0"/>
              <w:right w:val="single" w:color="000000" w:sz="6" w:space="0"/>
            </w:tcBorders>
            <w:noWrap w:val="0"/>
            <w:vAlign w:val="top"/>
          </w:tcPr>
          <w:p w14:paraId="2BAE68ED">
            <w:pPr>
              <w:pStyle w:val="15"/>
              <w:rPr>
                <w:rFonts w:ascii="Times New Roman"/>
                <w:sz w:val="20"/>
              </w:rPr>
            </w:pPr>
          </w:p>
        </w:tc>
        <w:tc>
          <w:tcPr>
            <w:tcW w:w="2111" w:type="dxa"/>
            <w:tcBorders>
              <w:top w:val="single" w:color="000000" w:sz="6" w:space="0"/>
              <w:left w:val="single" w:color="000000" w:sz="6" w:space="0"/>
              <w:bottom w:val="single" w:color="000000" w:sz="6" w:space="0"/>
            </w:tcBorders>
            <w:noWrap w:val="0"/>
            <w:vAlign w:val="top"/>
          </w:tcPr>
          <w:p w14:paraId="56417262">
            <w:pPr>
              <w:pStyle w:val="15"/>
              <w:rPr>
                <w:rFonts w:ascii="Times New Roman"/>
                <w:sz w:val="20"/>
              </w:rPr>
            </w:pPr>
          </w:p>
        </w:tc>
      </w:tr>
      <w:tr w14:paraId="35E09FA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6" w:type="dxa"/>
            <w:tcBorders>
              <w:top w:val="single" w:color="000000" w:sz="6" w:space="0"/>
              <w:bottom w:val="single" w:color="000000" w:sz="6" w:space="0"/>
              <w:right w:val="single" w:color="000000" w:sz="6" w:space="0"/>
            </w:tcBorders>
            <w:noWrap w:val="0"/>
            <w:vAlign w:val="top"/>
          </w:tcPr>
          <w:p w14:paraId="76C3D43E">
            <w:pPr>
              <w:pStyle w:val="15"/>
              <w:spacing w:before="111"/>
              <w:ind w:right="39"/>
              <w:jc w:val="center"/>
              <w:rPr>
                <w:sz w:val="21"/>
              </w:rPr>
            </w:pPr>
            <w:r>
              <w:rPr>
                <w:sz w:val="21"/>
              </w:rPr>
              <w:t>2</w:t>
            </w:r>
          </w:p>
        </w:tc>
        <w:tc>
          <w:tcPr>
            <w:tcW w:w="2826" w:type="dxa"/>
            <w:tcBorders>
              <w:top w:val="single" w:color="000000" w:sz="6" w:space="0"/>
              <w:left w:val="single" w:color="000000" w:sz="6" w:space="0"/>
              <w:bottom w:val="single" w:color="000000" w:sz="6" w:space="0"/>
              <w:right w:val="single" w:color="000000" w:sz="6" w:space="0"/>
            </w:tcBorders>
            <w:noWrap w:val="0"/>
            <w:vAlign w:val="top"/>
          </w:tcPr>
          <w:p w14:paraId="7F166C65">
            <w:pPr>
              <w:pStyle w:val="15"/>
              <w:spacing w:before="68"/>
              <w:ind w:left="114"/>
              <w:rPr>
                <w:sz w:val="21"/>
              </w:rPr>
            </w:pPr>
            <w:r>
              <w:rPr>
                <w:sz w:val="21"/>
              </w:rPr>
              <w:t>项目内容</w:t>
            </w:r>
          </w:p>
        </w:tc>
        <w:tc>
          <w:tcPr>
            <w:tcW w:w="2795" w:type="dxa"/>
            <w:tcBorders>
              <w:top w:val="single" w:color="000000" w:sz="6" w:space="0"/>
              <w:left w:val="single" w:color="000000" w:sz="6" w:space="0"/>
              <w:bottom w:val="single" w:color="000000" w:sz="6" w:space="0"/>
              <w:right w:val="single" w:color="000000" w:sz="6" w:space="0"/>
            </w:tcBorders>
            <w:noWrap w:val="0"/>
            <w:vAlign w:val="top"/>
          </w:tcPr>
          <w:p w14:paraId="437BC7A0">
            <w:pPr>
              <w:pStyle w:val="15"/>
              <w:rPr>
                <w:rFonts w:ascii="Times New Roman"/>
                <w:sz w:val="20"/>
              </w:rPr>
            </w:pPr>
          </w:p>
        </w:tc>
        <w:tc>
          <w:tcPr>
            <w:tcW w:w="2111" w:type="dxa"/>
            <w:tcBorders>
              <w:top w:val="single" w:color="000000" w:sz="6" w:space="0"/>
              <w:left w:val="single" w:color="000000" w:sz="6" w:space="0"/>
              <w:bottom w:val="single" w:color="000000" w:sz="6" w:space="0"/>
            </w:tcBorders>
            <w:noWrap w:val="0"/>
            <w:vAlign w:val="top"/>
          </w:tcPr>
          <w:p w14:paraId="666921AE">
            <w:pPr>
              <w:pStyle w:val="15"/>
              <w:rPr>
                <w:rFonts w:ascii="Times New Roman"/>
                <w:sz w:val="20"/>
              </w:rPr>
            </w:pPr>
          </w:p>
        </w:tc>
      </w:tr>
      <w:tr w14:paraId="1EDE32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6" w:type="dxa"/>
            <w:tcBorders>
              <w:top w:val="single" w:color="000000" w:sz="6" w:space="0"/>
              <w:bottom w:val="single" w:color="000000" w:sz="6" w:space="0"/>
              <w:right w:val="single" w:color="000000" w:sz="6" w:space="0"/>
            </w:tcBorders>
            <w:noWrap w:val="0"/>
            <w:vAlign w:val="top"/>
          </w:tcPr>
          <w:p w14:paraId="57544B85">
            <w:pPr>
              <w:pStyle w:val="15"/>
              <w:spacing w:before="109"/>
              <w:ind w:right="39"/>
              <w:jc w:val="center"/>
              <w:rPr>
                <w:sz w:val="21"/>
              </w:rPr>
            </w:pPr>
            <w:r>
              <w:rPr>
                <w:sz w:val="21"/>
              </w:rPr>
              <w:t>3</w:t>
            </w:r>
          </w:p>
        </w:tc>
        <w:tc>
          <w:tcPr>
            <w:tcW w:w="2826" w:type="dxa"/>
            <w:tcBorders>
              <w:top w:val="single" w:color="000000" w:sz="6" w:space="0"/>
              <w:left w:val="single" w:color="000000" w:sz="6" w:space="0"/>
              <w:bottom w:val="single" w:color="000000" w:sz="6" w:space="0"/>
              <w:right w:val="single" w:color="000000" w:sz="6" w:space="0"/>
            </w:tcBorders>
            <w:noWrap w:val="0"/>
            <w:vAlign w:val="top"/>
          </w:tcPr>
          <w:p w14:paraId="2BC57A4D">
            <w:pPr>
              <w:pStyle w:val="15"/>
              <w:spacing w:before="68"/>
              <w:ind w:left="114"/>
              <w:rPr>
                <w:sz w:val="21"/>
              </w:rPr>
            </w:pPr>
            <w:r>
              <w:rPr>
                <w:rFonts w:hint="eastAsia" w:ascii="Times New Roman" w:hAnsi="Times New Roman" w:eastAsia="宋体" w:cs="Times New Roman"/>
                <w:b w:val="0"/>
                <w:bCs w:val="0"/>
                <w:sz w:val="21"/>
                <w:szCs w:val="21"/>
              </w:rPr>
              <w:t>技术支持与售后服务</w:t>
            </w:r>
          </w:p>
        </w:tc>
        <w:tc>
          <w:tcPr>
            <w:tcW w:w="2795" w:type="dxa"/>
            <w:tcBorders>
              <w:top w:val="single" w:color="000000" w:sz="6" w:space="0"/>
              <w:left w:val="single" w:color="000000" w:sz="6" w:space="0"/>
              <w:bottom w:val="single" w:color="000000" w:sz="6" w:space="0"/>
              <w:right w:val="single" w:color="000000" w:sz="6" w:space="0"/>
            </w:tcBorders>
            <w:noWrap w:val="0"/>
            <w:vAlign w:val="top"/>
          </w:tcPr>
          <w:p w14:paraId="08DC560B">
            <w:pPr>
              <w:pStyle w:val="15"/>
              <w:rPr>
                <w:rFonts w:ascii="Times New Roman"/>
                <w:sz w:val="20"/>
              </w:rPr>
            </w:pPr>
          </w:p>
        </w:tc>
        <w:tc>
          <w:tcPr>
            <w:tcW w:w="2111" w:type="dxa"/>
            <w:tcBorders>
              <w:top w:val="single" w:color="000000" w:sz="6" w:space="0"/>
              <w:left w:val="single" w:color="000000" w:sz="6" w:space="0"/>
              <w:bottom w:val="single" w:color="000000" w:sz="6" w:space="0"/>
            </w:tcBorders>
            <w:noWrap w:val="0"/>
            <w:vAlign w:val="top"/>
          </w:tcPr>
          <w:p w14:paraId="54324E77">
            <w:pPr>
              <w:pStyle w:val="15"/>
              <w:rPr>
                <w:rFonts w:ascii="Times New Roman"/>
                <w:sz w:val="20"/>
              </w:rPr>
            </w:pPr>
          </w:p>
        </w:tc>
      </w:tr>
      <w:tr w14:paraId="04F2BB5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9" w:hRule="atLeast"/>
        </w:trPr>
        <w:tc>
          <w:tcPr>
            <w:tcW w:w="706" w:type="dxa"/>
            <w:tcBorders>
              <w:top w:val="single" w:color="000000" w:sz="6" w:space="0"/>
              <w:right w:val="single" w:color="000000" w:sz="6" w:space="0"/>
            </w:tcBorders>
            <w:noWrap w:val="0"/>
            <w:vAlign w:val="top"/>
          </w:tcPr>
          <w:p w14:paraId="28E237D2">
            <w:pPr>
              <w:pStyle w:val="15"/>
              <w:spacing w:before="109"/>
              <w:ind w:right="39"/>
              <w:jc w:val="center"/>
              <w:rPr>
                <w:sz w:val="21"/>
              </w:rPr>
            </w:pPr>
            <w:r>
              <w:rPr>
                <w:sz w:val="21"/>
              </w:rPr>
              <w:t>4</w:t>
            </w:r>
          </w:p>
        </w:tc>
        <w:tc>
          <w:tcPr>
            <w:tcW w:w="2826" w:type="dxa"/>
            <w:tcBorders>
              <w:top w:val="single" w:color="000000" w:sz="6" w:space="0"/>
              <w:left w:val="single" w:color="000000" w:sz="6" w:space="0"/>
              <w:right w:val="single" w:color="000000" w:sz="6" w:space="0"/>
            </w:tcBorders>
            <w:noWrap w:val="0"/>
            <w:vAlign w:val="top"/>
          </w:tcPr>
          <w:p w14:paraId="3DBA8836">
            <w:pPr>
              <w:pStyle w:val="15"/>
              <w:spacing w:before="68"/>
              <w:ind w:left="114"/>
              <w:rPr>
                <w:sz w:val="21"/>
              </w:rPr>
            </w:pPr>
            <w:r>
              <w:rPr>
                <w:sz w:val="21"/>
              </w:rPr>
              <w:t>付款方式</w:t>
            </w:r>
          </w:p>
        </w:tc>
        <w:tc>
          <w:tcPr>
            <w:tcW w:w="2795" w:type="dxa"/>
            <w:tcBorders>
              <w:top w:val="single" w:color="000000" w:sz="6" w:space="0"/>
              <w:left w:val="single" w:color="000000" w:sz="6" w:space="0"/>
              <w:right w:val="single" w:color="000000" w:sz="6" w:space="0"/>
            </w:tcBorders>
            <w:noWrap w:val="0"/>
            <w:vAlign w:val="top"/>
          </w:tcPr>
          <w:p w14:paraId="020194C0">
            <w:pPr>
              <w:pStyle w:val="15"/>
              <w:rPr>
                <w:rFonts w:ascii="Times New Roman"/>
                <w:sz w:val="20"/>
              </w:rPr>
            </w:pPr>
          </w:p>
        </w:tc>
        <w:tc>
          <w:tcPr>
            <w:tcW w:w="2111" w:type="dxa"/>
            <w:tcBorders>
              <w:top w:val="single" w:color="000000" w:sz="6" w:space="0"/>
              <w:left w:val="single" w:color="000000" w:sz="6" w:space="0"/>
            </w:tcBorders>
            <w:noWrap w:val="0"/>
            <w:vAlign w:val="top"/>
          </w:tcPr>
          <w:p w14:paraId="20B5C0E8">
            <w:pPr>
              <w:pStyle w:val="15"/>
              <w:rPr>
                <w:rFonts w:ascii="Times New Roman"/>
                <w:sz w:val="20"/>
              </w:rPr>
            </w:pPr>
          </w:p>
        </w:tc>
      </w:tr>
    </w:tbl>
    <w:p w14:paraId="284DB3A6">
      <w:pPr>
        <w:pStyle w:val="5"/>
        <w:rPr>
          <w:sz w:val="20"/>
        </w:rPr>
      </w:pPr>
    </w:p>
    <w:p w14:paraId="709CC7D3">
      <w:pPr>
        <w:pStyle w:val="5"/>
        <w:rPr>
          <w:sz w:val="20"/>
        </w:rPr>
      </w:pPr>
    </w:p>
    <w:p w14:paraId="6AEEEE9A">
      <w:pPr>
        <w:pStyle w:val="5"/>
        <w:rPr>
          <w:sz w:val="20"/>
        </w:rPr>
      </w:pPr>
    </w:p>
    <w:p w14:paraId="75EAB8DE">
      <w:pPr>
        <w:pStyle w:val="5"/>
        <w:rPr>
          <w:sz w:val="20"/>
        </w:rPr>
      </w:pPr>
    </w:p>
    <w:p w14:paraId="33CDEA73">
      <w:pPr>
        <w:pStyle w:val="5"/>
        <w:rPr>
          <w:sz w:val="20"/>
        </w:rPr>
      </w:pPr>
    </w:p>
    <w:p w14:paraId="2AA06712">
      <w:pPr>
        <w:pStyle w:val="5"/>
        <w:tabs>
          <w:tab w:val="left" w:pos="6123"/>
        </w:tabs>
        <w:spacing w:before="161"/>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24209601">
      <w:pPr>
        <w:pStyle w:val="5"/>
        <w:rPr>
          <w:rFonts w:ascii="Times New Roman"/>
          <w:sz w:val="20"/>
        </w:rPr>
      </w:pPr>
    </w:p>
    <w:p w14:paraId="1AB1DA7D">
      <w:pPr>
        <w:pStyle w:val="5"/>
        <w:rPr>
          <w:rFonts w:ascii="Times New Roman"/>
          <w:sz w:val="20"/>
        </w:rPr>
      </w:pPr>
    </w:p>
    <w:p w14:paraId="11C46BFD">
      <w:pPr>
        <w:pStyle w:val="5"/>
        <w:tabs>
          <w:tab w:val="left" w:pos="6327"/>
          <w:tab w:val="left" w:pos="7997"/>
          <w:tab w:val="left" w:pos="9136"/>
        </w:tabs>
        <w:ind w:left="398"/>
        <w:rPr>
          <w:rFonts w:ascii="Times New Roman" w:eastAsia="Times New Roman"/>
        </w:r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r>
        <w:rPr>
          <w:rFonts w:ascii="Times New Roman" w:eastAsia="Times New Roman"/>
          <w:u w:val="single"/>
        </w:rPr>
        <w:t xml:space="preserve"> </w:t>
      </w:r>
      <w:r>
        <w:rPr>
          <w:rFonts w:ascii="Times New Roman" w:eastAsia="Times New Roman"/>
          <w:u w:val="single"/>
        </w:rPr>
        <w:tab/>
      </w:r>
    </w:p>
    <w:p w14:paraId="2389A94F">
      <w:pPr>
        <w:rPr>
          <w:rFonts w:ascii="Times New Roman" w:eastAsia="Times New Roman"/>
        </w:rPr>
        <w:sectPr>
          <w:type w:val="continuous"/>
          <w:pgSz w:w="11910" w:h="16840"/>
          <w:pgMar w:top="1580" w:right="1340" w:bottom="280" w:left="1020" w:header="720" w:footer="720" w:gutter="0"/>
          <w:pgNumType w:fmt="decimal"/>
          <w:cols w:space="720" w:num="1"/>
        </w:sectPr>
      </w:pPr>
    </w:p>
    <w:p w14:paraId="298B29A7">
      <w:pPr>
        <w:spacing w:before="133"/>
        <w:ind w:left="398"/>
        <w:rPr>
          <w:rFonts w:hint="default"/>
          <w:b/>
          <w:sz w:val="28"/>
        </w:rPr>
      </w:pPr>
      <w:r>
        <w:rPr>
          <w:b/>
          <w:sz w:val="28"/>
        </w:rPr>
        <w:t>格式</w:t>
      </w:r>
      <w:r>
        <w:rPr>
          <w:rFonts w:hint="default"/>
          <w:b/>
          <w:sz w:val="28"/>
        </w:rPr>
        <w:t>9</w:t>
      </w:r>
    </w:p>
    <w:p w14:paraId="40626E15">
      <w:pPr>
        <w:pStyle w:val="5"/>
        <w:rPr>
          <w:b/>
          <w:sz w:val="32"/>
        </w:rPr>
      </w:pPr>
      <w:r>
        <w:br w:type="column"/>
      </w:r>
    </w:p>
    <w:p w14:paraId="0B165F8A">
      <w:pPr>
        <w:spacing w:before="214"/>
        <w:ind w:left="398"/>
        <w:rPr>
          <w:b/>
          <w:sz w:val="32"/>
        </w:rPr>
      </w:pPr>
      <w:r>
        <w:rPr>
          <w:b/>
          <w:sz w:val="32"/>
        </w:rPr>
        <w:t>合同条款响应一览表</w:t>
      </w:r>
    </w:p>
    <w:p w14:paraId="5B4D3584">
      <w:pPr>
        <w:rPr>
          <w:sz w:val="32"/>
        </w:rPr>
        <w:sectPr>
          <w:pgSz w:w="11910" w:h="16840"/>
          <w:pgMar w:top="1360" w:right="1340" w:bottom="1420" w:left="1020" w:header="567" w:footer="1216" w:gutter="0"/>
          <w:pgNumType w:fmt="decimal"/>
          <w:cols w:equalWidth="0" w:num="2">
            <w:col w:w="1284" w:space="1613"/>
            <w:col w:w="6653"/>
          </w:cols>
        </w:sectPr>
      </w:pPr>
    </w:p>
    <w:p w14:paraId="68E91359">
      <w:pPr>
        <w:pStyle w:val="5"/>
        <w:rPr>
          <w:b/>
          <w:sz w:val="27"/>
        </w:rPr>
      </w:pPr>
    </w:p>
    <w:p w14:paraId="4CE560CF">
      <w:pPr>
        <w:pStyle w:val="5"/>
        <w:spacing w:before="71"/>
        <w:ind w:left="398"/>
      </w:pPr>
      <w:r>
        <w:t>说明：投标人必须对应招标文件的合同条款逐条应答并按要求填写下表。</w:t>
      </w:r>
    </w:p>
    <w:p w14:paraId="2B124990">
      <w:pPr>
        <w:pStyle w:val="5"/>
        <w:spacing w:before="7"/>
        <w:rPr>
          <w:sz w:val="15"/>
        </w:rPr>
      </w:pPr>
    </w:p>
    <w:p w14:paraId="4EA480EE">
      <w:pPr>
        <w:pStyle w:val="5"/>
        <w:tabs>
          <w:tab w:val="left" w:pos="5439"/>
        </w:tabs>
        <w:ind w:left="398"/>
      </w:pPr>
      <w:r>
        <w:t>投标</w:t>
      </w:r>
      <w:r>
        <w:rPr>
          <w:spacing w:val="-3"/>
        </w:rPr>
        <w:t>人</w:t>
      </w:r>
      <w:r>
        <w:t>名</w:t>
      </w:r>
      <w:r>
        <w:rPr>
          <w:spacing w:val="-3"/>
        </w:rPr>
        <w:t>称</w:t>
      </w:r>
      <w:r>
        <w:t>：</w:t>
      </w:r>
      <w:r>
        <w:tab/>
      </w:r>
    </w:p>
    <w:p w14:paraId="48536680">
      <w:pPr>
        <w:pStyle w:val="5"/>
        <w:spacing w:before="9"/>
        <w:rPr>
          <w:sz w:val="7"/>
        </w:rPr>
      </w:pPr>
    </w:p>
    <w:tbl>
      <w:tblPr>
        <w:tblStyle w:val="10"/>
        <w:tblW w:w="0" w:type="auto"/>
        <w:tblInd w:w="50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8"/>
        <w:gridCol w:w="3509"/>
        <w:gridCol w:w="2467"/>
        <w:gridCol w:w="1819"/>
      </w:tblGrid>
      <w:tr w14:paraId="4CE3970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5" w:hRule="atLeast"/>
        </w:trPr>
        <w:tc>
          <w:tcPr>
            <w:tcW w:w="708" w:type="dxa"/>
            <w:tcBorders>
              <w:bottom w:val="single" w:color="000000" w:sz="6" w:space="0"/>
              <w:right w:val="single" w:color="000000" w:sz="6" w:space="0"/>
            </w:tcBorders>
            <w:shd w:val="clear" w:color="auto" w:fill="EDEBE0"/>
            <w:noWrap w:val="0"/>
            <w:vAlign w:val="top"/>
          </w:tcPr>
          <w:p w14:paraId="2AC88062">
            <w:pPr>
              <w:pStyle w:val="15"/>
              <w:spacing w:before="5"/>
              <w:rPr>
                <w:sz w:val="29"/>
              </w:rPr>
            </w:pPr>
          </w:p>
          <w:p w14:paraId="6AEB118F">
            <w:pPr>
              <w:pStyle w:val="15"/>
              <w:spacing w:before="1"/>
              <w:ind w:left="121" w:right="103"/>
              <w:jc w:val="center"/>
              <w:rPr>
                <w:sz w:val="21"/>
              </w:rPr>
            </w:pPr>
            <w:r>
              <w:rPr>
                <w:sz w:val="21"/>
              </w:rPr>
              <w:t>序号</w:t>
            </w:r>
          </w:p>
        </w:tc>
        <w:tc>
          <w:tcPr>
            <w:tcW w:w="3509" w:type="dxa"/>
            <w:tcBorders>
              <w:left w:val="single" w:color="000000" w:sz="6" w:space="0"/>
              <w:bottom w:val="single" w:color="000000" w:sz="6" w:space="0"/>
              <w:right w:val="single" w:color="000000" w:sz="6" w:space="0"/>
            </w:tcBorders>
            <w:shd w:val="clear" w:color="auto" w:fill="EDEBE0"/>
            <w:noWrap w:val="0"/>
            <w:vAlign w:val="top"/>
          </w:tcPr>
          <w:p w14:paraId="4F07CD0D">
            <w:pPr>
              <w:pStyle w:val="15"/>
              <w:spacing w:before="1"/>
              <w:rPr>
                <w:sz w:val="26"/>
              </w:rPr>
            </w:pPr>
          </w:p>
          <w:p w14:paraId="232AEE87">
            <w:pPr>
              <w:pStyle w:val="15"/>
              <w:ind w:left="1215" w:right="1189"/>
              <w:jc w:val="center"/>
              <w:rPr>
                <w:sz w:val="21"/>
              </w:rPr>
            </w:pPr>
            <w:r>
              <w:rPr>
                <w:sz w:val="21"/>
              </w:rPr>
              <w:t>原条款描述</w:t>
            </w:r>
          </w:p>
        </w:tc>
        <w:tc>
          <w:tcPr>
            <w:tcW w:w="2467" w:type="dxa"/>
            <w:tcBorders>
              <w:left w:val="single" w:color="000000" w:sz="6" w:space="0"/>
              <w:bottom w:val="single" w:color="000000" w:sz="6" w:space="0"/>
              <w:right w:val="single" w:color="000000" w:sz="6" w:space="0"/>
            </w:tcBorders>
            <w:shd w:val="clear" w:color="auto" w:fill="EDEBE0"/>
            <w:noWrap w:val="0"/>
            <w:vAlign w:val="top"/>
          </w:tcPr>
          <w:p w14:paraId="3265D985">
            <w:pPr>
              <w:pStyle w:val="15"/>
              <w:spacing w:before="1"/>
              <w:rPr>
                <w:sz w:val="26"/>
              </w:rPr>
            </w:pPr>
          </w:p>
          <w:p w14:paraId="0A9858F6">
            <w:pPr>
              <w:pStyle w:val="15"/>
              <w:ind w:left="501"/>
              <w:rPr>
                <w:sz w:val="21"/>
              </w:rPr>
            </w:pPr>
            <w:r>
              <w:rPr>
                <w:sz w:val="21"/>
              </w:rPr>
              <w:t>投标人响应描述</w:t>
            </w:r>
          </w:p>
        </w:tc>
        <w:tc>
          <w:tcPr>
            <w:tcW w:w="1819" w:type="dxa"/>
            <w:tcBorders>
              <w:left w:val="single" w:color="000000" w:sz="6" w:space="0"/>
              <w:bottom w:val="single" w:color="000000" w:sz="6" w:space="0"/>
            </w:tcBorders>
            <w:shd w:val="clear" w:color="auto" w:fill="EDEBE0"/>
            <w:noWrap w:val="0"/>
            <w:vAlign w:val="top"/>
          </w:tcPr>
          <w:p w14:paraId="199CA80F">
            <w:pPr>
              <w:pStyle w:val="15"/>
              <w:spacing w:before="22"/>
              <w:ind w:left="125" w:right="87"/>
              <w:jc w:val="center"/>
              <w:rPr>
                <w:sz w:val="21"/>
              </w:rPr>
            </w:pPr>
            <w:r>
              <w:rPr>
                <w:sz w:val="21"/>
              </w:rPr>
              <w:t>偏离情况说明</w:t>
            </w:r>
          </w:p>
          <w:p w14:paraId="4911A0BB">
            <w:pPr>
              <w:pStyle w:val="15"/>
              <w:spacing w:before="2" w:line="310" w:lineRule="atLeast"/>
              <w:ind w:left="130" w:right="87"/>
              <w:jc w:val="center"/>
              <w:rPr>
                <w:sz w:val="21"/>
              </w:rPr>
            </w:pPr>
            <w:r>
              <w:rPr>
                <w:sz w:val="21"/>
              </w:rPr>
              <w:t>（正偏离/完全响应/负偏离）</w:t>
            </w:r>
          </w:p>
        </w:tc>
      </w:tr>
      <w:tr w14:paraId="5A77BD6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62EC3983">
            <w:pPr>
              <w:pStyle w:val="15"/>
              <w:spacing w:before="111"/>
              <w:ind w:right="41"/>
              <w:jc w:val="center"/>
              <w:rPr>
                <w:sz w:val="21"/>
              </w:rPr>
            </w:pPr>
            <w:r>
              <w:rPr>
                <w:sz w:val="21"/>
              </w:rPr>
              <w:t>1</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1F9C7E6B">
            <w:pPr>
              <w:pStyle w:val="15"/>
              <w:spacing w:before="68"/>
              <w:ind w:left="112"/>
              <w:rPr>
                <w:sz w:val="21"/>
              </w:rPr>
            </w:pPr>
            <w:r>
              <w:rPr>
                <w:sz w:val="21"/>
              </w:rPr>
              <w:t>合同金额</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7376D488">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783A7AF2">
            <w:pPr>
              <w:pStyle w:val="15"/>
              <w:rPr>
                <w:rFonts w:ascii="Times New Roman"/>
                <w:sz w:val="20"/>
              </w:rPr>
            </w:pPr>
          </w:p>
        </w:tc>
      </w:tr>
      <w:tr w14:paraId="0545CF4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7778F757">
            <w:pPr>
              <w:pStyle w:val="15"/>
              <w:spacing w:before="111"/>
              <w:ind w:right="41"/>
              <w:jc w:val="center"/>
              <w:rPr>
                <w:sz w:val="21"/>
              </w:rPr>
            </w:pPr>
            <w:r>
              <w:rPr>
                <w:sz w:val="21"/>
              </w:rPr>
              <w:t>2</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708A58F5">
            <w:pPr>
              <w:pStyle w:val="15"/>
              <w:spacing w:before="68"/>
              <w:ind w:left="112"/>
              <w:rPr>
                <w:sz w:val="21"/>
              </w:rPr>
            </w:pPr>
            <w:r>
              <w:rPr>
                <w:sz w:val="21"/>
              </w:rPr>
              <w:t>项目内容</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7F75678E">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2C430B91">
            <w:pPr>
              <w:pStyle w:val="15"/>
              <w:rPr>
                <w:rFonts w:ascii="Times New Roman"/>
                <w:sz w:val="20"/>
              </w:rPr>
            </w:pPr>
          </w:p>
        </w:tc>
      </w:tr>
      <w:tr w14:paraId="6B5D3D9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22628FB3">
            <w:pPr>
              <w:pStyle w:val="15"/>
              <w:spacing w:before="109"/>
              <w:ind w:right="41"/>
              <w:jc w:val="center"/>
              <w:rPr>
                <w:sz w:val="21"/>
              </w:rPr>
            </w:pPr>
            <w:r>
              <w:rPr>
                <w:sz w:val="21"/>
              </w:rPr>
              <w:t>3</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6AFA59F8">
            <w:pPr>
              <w:pStyle w:val="15"/>
              <w:spacing w:before="68"/>
              <w:ind w:left="112"/>
              <w:rPr>
                <w:sz w:val="21"/>
              </w:rPr>
            </w:pPr>
            <w:r>
              <w:rPr>
                <w:sz w:val="21"/>
              </w:rPr>
              <w:t>服务要求</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4DE1F457">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559563DA">
            <w:pPr>
              <w:pStyle w:val="15"/>
              <w:rPr>
                <w:rFonts w:ascii="Times New Roman"/>
                <w:sz w:val="20"/>
              </w:rPr>
            </w:pPr>
          </w:p>
        </w:tc>
      </w:tr>
      <w:tr w14:paraId="7EA2113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3A834CE3">
            <w:pPr>
              <w:pStyle w:val="15"/>
              <w:spacing w:before="109"/>
              <w:ind w:right="41"/>
              <w:jc w:val="center"/>
              <w:rPr>
                <w:sz w:val="21"/>
              </w:rPr>
            </w:pPr>
            <w:r>
              <w:rPr>
                <w:sz w:val="21"/>
              </w:rPr>
              <w:t>4</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301D81C2">
            <w:pPr>
              <w:pStyle w:val="15"/>
              <w:spacing w:before="68"/>
              <w:ind w:left="112"/>
              <w:rPr>
                <w:sz w:val="21"/>
              </w:rPr>
            </w:pPr>
            <w:r>
              <w:rPr>
                <w:sz w:val="21"/>
              </w:rPr>
              <w:t>甲方乙方的权利和义务</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248E80FF">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47B61D1F">
            <w:pPr>
              <w:pStyle w:val="15"/>
              <w:rPr>
                <w:rFonts w:ascii="Times New Roman"/>
                <w:sz w:val="20"/>
              </w:rPr>
            </w:pPr>
          </w:p>
        </w:tc>
      </w:tr>
      <w:tr w14:paraId="2A8C4D4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0B2CC824">
            <w:pPr>
              <w:pStyle w:val="15"/>
              <w:spacing w:before="109"/>
              <w:ind w:right="41"/>
              <w:jc w:val="center"/>
              <w:rPr>
                <w:sz w:val="21"/>
              </w:rPr>
            </w:pPr>
            <w:r>
              <w:rPr>
                <w:sz w:val="21"/>
              </w:rPr>
              <w:t>5</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15D56904">
            <w:pPr>
              <w:pStyle w:val="15"/>
              <w:spacing w:before="68"/>
              <w:ind w:left="112"/>
              <w:rPr>
                <w:sz w:val="21"/>
              </w:rPr>
            </w:pPr>
            <w:r>
              <w:rPr>
                <w:sz w:val="21"/>
              </w:rPr>
              <w:t>服务期间（项目完成期限）</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096932D5">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2C56F714">
            <w:pPr>
              <w:pStyle w:val="15"/>
              <w:rPr>
                <w:rFonts w:ascii="Times New Roman"/>
                <w:sz w:val="20"/>
              </w:rPr>
            </w:pPr>
          </w:p>
        </w:tc>
      </w:tr>
      <w:tr w14:paraId="4FE5D4A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0302609B">
            <w:pPr>
              <w:pStyle w:val="15"/>
              <w:spacing w:before="109"/>
              <w:ind w:right="41"/>
              <w:jc w:val="center"/>
              <w:rPr>
                <w:sz w:val="21"/>
              </w:rPr>
            </w:pPr>
            <w:r>
              <w:rPr>
                <w:sz w:val="21"/>
              </w:rPr>
              <w:t>6</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52A89787">
            <w:pPr>
              <w:pStyle w:val="15"/>
              <w:spacing w:before="68"/>
              <w:ind w:left="112"/>
              <w:rPr>
                <w:sz w:val="21"/>
              </w:rPr>
            </w:pPr>
            <w:r>
              <w:rPr>
                <w:sz w:val="21"/>
              </w:rPr>
              <w:t>付款方式</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7771DC07">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63E7CA08">
            <w:pPr>
              <w:pStyle w:val="15"/>
              <w:rPr>
                <w:rFonts w:ascii="Times New Roman"/>
                <w:sz w:val="20"/>
              </w:rPr>
            </w:pPr>
          </w:p>
        </w:tc>
      </w:tr>
      <w:tr w14:paraId="210E85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738D7FE2">
            <w:pPr>
              <w:pStyle w:val="15"/>
              <w:spacing w:before="109"/>
              <w:ind w:right="41"/>
              <w:jc w:val="center"/>
              <w:rPr>
                <w:sz w:val="21"/>
              </w:rPr>
            </w:pPr>
            <w:r>
              <w:rPr>
                <w:sz w:val="21"/>
              </w:rPr>
              <w:t>7</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3D22F743">
            <w:pPr>
              <w:pStyle w:val="15"/>
              <w:spacing w:before="65"/>
              <w:ind w:left="112"/>
              <w:rPr>
                <w:sz w:val="21"/>
              </w:rPr>
            </w:pPr>
            <w:r>
              <w:rPr>
                <w:sz w:val="21"/>
              </w:rPr>
              <w:t>知识产权产权归属</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6AA2CF04">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6FC5F954">
            <w:pPr>
              <w:pStyle w:val="15"/>
              <w:rPr>
                <w:rFonts w:ascii="Times New Roman"/>
                <w:sz w:val="20"/>
              </w:rPr>
            </w:pPr>
          </w:p>
        </w:tc>
      </w:tr>
      <w:tr w14:paraId="2EC1BA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14D658A8">
            <w:pPr>
              <w:pStyle w:val="15"/>
              <w:spacing w:before="109"/>
              <w:ind w:right="41"/>
              <w:jc w:val="center"/>
              <w:rPr>
                <w:sz w:val="21"/>
              </w:rPr>
            </w:pPr>
            <w:r>
              <w:rPr>
                <w:sz w:val="21"/>
              </w:rPr>
              <w:t>8</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40156FBE">
            <w:pPr>
              <w:pStyle w:val="15"/>
              <w:spacing w:before="65"/>
              <w:ind w:left="112"/>
              <w:rPr>
                <w:sz w:val="21"/>
              </w:rPr>
            </w:pPr>
            <w:r>
              <w:rPr>
                <w:sz w:val="21"/>
              </w:rPr>
              <w:t>保密</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15AA0B42">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1888B9AC">
            <w:pPr>
              <w:pStyle w:val="15"/>
              <w:rPr>
                <w:rFonts w:ascii="Times New Roman"/>
                <w:sz w:val="20"/>
              </w:rPr>
            </w:pPr>
          </w:p>
        </w:tc>
      </w:tr>
      <w:tr w14:paraId="106953D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56BC046F">
            <w:pPr>
              <w:pStyle w:val="15"/>
              <w:spacing w:before="109"/>
              <w:ind w:right="41"/>
              <w:jc w:val="center"/>
              <w:rPr>
                <w:sz w:val="21"/>
              </w:rPr>
            </w:pPr>
            <w:r>
              <w:rPr>
                <w:sz w:val="21"/>
              </w:rPr>
              <w:t>9</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54E1382F">
            <w:pPr>
              <w:pStyle w:val="15"/>
              <w:spacing w:before="65"/>
              <w:ind w:left="112"/>
              <w:rPr>
                <w:sz w:val="21"/>
              </w:rPr>
            </w:pPr>
            <w:r>
              <w:rPr>
                <w:sz w:val="21"/>
              </w:rPr>
              <w:t>违约责任与赔偿损失</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52CB9587">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45397877">
            <w:pPr>
              <w:pStyle w:val="15"/>
              <w:rPr>
                <w:rFonts w:ascii="Times New Roman"/>
                <w:sz w:val="20"/>
              </w:rPr>
            </w:pPr>
          </w:p>
        </w:tc>
      </w:tr>
      <w:tr w14:paraId="78823C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30A1AE73">
            <w:pPr>
              <w:pStyle w:val="15"/>
              <w:spacing w:before="109"/>
              <w:ind w:left="62" w:right="103"/>
              <w:jc w:val="center"/>
              <w:rPr>
                <w:sz w:val="21"/>
              </w:rPr>
            </w:pPr>
            <w:r>
              <w:rPr>
                <w:sz w:val="21"/>
              </w:rPr>
              <w:t>10</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7F5F89DB">
            <w:pPr>
              <w:pStyle w:val="15"/>
              <w:spacing w:before="65"/>
              <w:ind w:left="112"/>
              <w:rPr>
                <w:sz w:val="21"/>
              </w:rPr>
            </w:pPr>
            <w:r>
              <w:rPr>
                <w:sz w:val="21"/>
              </w:rPr>
              <w:t>争端的解决</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6625B1F1">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0A5FBE80">
            <w:pPr>
              <w:pStyle w:val="15"/>
              <w:rPr>
                <w:rFonts w:ascii="Times New Roman"/>
                <w:sz w:val="20"/>
              </w:rPr>
            </w:pPr>
          </w:p>
        </w:tc>
      </w:tr>
      <w:tr w14:paraId="5A4B2A5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8" w:type="dxa"/>
            <w:tcBorders>
              <w:top w:val="single" w:color="000000" w:sz="6" w:space="0"/>
              <w:bottom w:val="single" w:color="000000" w:sz="6" w:space="0"/>
              <w:right w:val="single" w:color="000000" w:sz="6" w:space="0"/>
            </w:tcBorders>
            <w:noWrap w:val="0"/>
            <w:vAlign w:val="top"/>
          </w:tcPr>
          <w:p w14:paraId="1F20CCFD">
            <w:pPr>
              <w:pStyle w:val="15"/>
              <w:spacing w:before="109"/>
              <w:ind w:left="62" w:right="103"/>
              <w:jc w:val="center"/>
              <w:rPr>
                <w:sz w:val="21"/>
              </w:rPr>
            </w:pPr>
            <w:r>
              <w:rPr>
                <w:sz w:val="21"/>
              </w:rPr>
              <w:t>11</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18AFB11B">
            <w:pPr>
              <w:pStyle w:val="15"/>
              <w:spacing w:before="65"/>
              <w:ind w:left="112"/>
              <w:rPr>
                <w:sz w:val="21"/>
              </w:rPr>
            </w:pPr>
            <w:r>
              <w:rPr>
                <w:sz w:val="21"/>
              </w:rPr>
              <w:t>不可抗力</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5BE3CF80">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25413F65">
            <w:pPr>
              <w:pStyle w:val="15"/>
              <w:rPr>
                <w:rFonts w:ascii="Times New Roman"/>
                <w:sz w:val="20"/>
              </w:rPr>
            </w:pPr>
          </w:p>
        </w:tc>
      </w:tr>
      <w:tr w14:paraId="11C3CB7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5" w:hRule="atLeast"/>
        </w:trPr>
        <w:tc>
          <w:tcPr>
            <w:tcW w:w="708" w:type="dxa"/>
            <w:tcBorders>
              <w:top w:val="single" w:color="000000" w:sz="6" w:space="0"/>
              <w:bottom w:val="single" w:color="000000" w:sz="6" w:space="0"/>
              <w:right w:val="single" w:color="000000" w:sz="6" w:space="0"/>
            </w:tcBorders>
            <w:noWrap w:val="0"/>
            <w:vAlign w:val="top"/>
          </w:tcPr>
          <w:p w14:paraId="003157AF">
            <w:pPr>
              <w:pStyle w:val="15"/>
              <w:spacing w:before="119"/>
              <w:ind w:left="62" w:right="103"/>
              <w:jc w:val="center"/>
              <w:rPr>
                <w:sz w:val="21"/>
              </w:rPr>
            </w:pPr>
            <w:r>
              <w:rPr>
                <w:sz w:val="21"/>
              </w:rPr>
              <w:t>12</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7C769310">
            <w:pPr>
              <w:pStyle w:val="15"/>
              <w:spacing w:before="75"/>
              <w:ind w:left="112"/>
              <w:rPr>
                <w:sz w:val="21"/>
              </w:rPr>
            </w:pPr>
            <w:r>
              <w:rPr>
                <w:sz w:val="21"/>
              </w:rPr>
              <w:t>税费</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5D7FEEDF">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23E0D7BA">
            <w:pPr>
              <w:pStyle w:val="15"/>
              <w:rPr>
                <w:rFonts w:ascii="Times New Roman"/>
                <w:sz w:val="20"/>
              </w:rPr>
            </w:pPr>
          </w:p>
        </w:tc>
      </w:tr>
      <w:tr w14:paraId="250B40E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708" w:type="dxa"/>
            <w:tcBorders>
              <w:top w:val="single" w:color="000000" w:sz="6" w:space="0"/>
              <w:bottom w:val="single" w:color="000000" w:sz="6" w:space="0"/>
              <w:right w:val="single" w:color="000000" w:sz="6" w:space="0"/>
            </w:tcBorders>
            <w:noWrap w:val="0"/>
            <w:vAlign w:val="top"/>
          </w:tcPr>
          <w:p w14:paraId="274CC969">
            <w:pPr>
              <w:pStyle w:val="15"/>
              <w:spacing w:before="109"/>
              <w:ind w:left="62" w:right="103"/>
              <w:jc w:val="center"/>
              <w:rPr>
                <w:sz w:val="21"/>
              </w:rPr>
            </w:pPr>
            <w:r>
              <w:rPr>
                <w:sz w:val="21"/>
              </w:rPr>
              <w:t>13</w:t>
            </w:r>
          </w:p>
        </w:tc>
        <w:tc>
          <w:tcPr>
            <w:tcW w:w="3509" w:type="dxa"/>
            <w:tcBorders>
              <w:top w:val="single" w:color="000000" w:sz="6" w:space="0"/>
              <w:left w:val="single" w:color="000000" w:sz="6" w:space="0"/>
              <w:bottom w:val="single" w:color="000000" w:sz="6" w:space="0"/>
              <w:right w:val="single" w:color="000000" w:sz="6" w:space="0"/>
            </w:tcBorders>
            <w:noWrap w:val="0"/>
            <w:vAlign w:val="top"/>
          </w:tcPr>
          <w:p w14:paraId="210FCC33">
            <w:pPr>
              <w:pStyle w:val="15"/>
              <w:spacing w:before="68"/>
              <w:ind w:left="112"/>
              <w:rPr>
                <w:sz w:val="21"/>
              </w:rPr>
            </w:pPr>
            <w:r>
              <w:rPr>
                <w:sz w:val="21"/>
              </w:rPr>
              <w:t>其它</w:t>
            </w:r>
          </w:p>
        </w:tc>
        <w:tc>
          <w:tcPr>
            <w:tcW w:w="2467" w:type="dxa"/>
            <w:tcBorders>
              <w:top w:val="single" w:color="000000" w:sz="6" w:space="0"/>
              <w:left w:val="single" w:color="000000" w:sz="6" w:space="0"/>
              <w:bottom w:val="single" w:color="000000" w:sz="6" w:space="0"/>
              <w:right w:val="single" w:color="000000" w:sz="6" w:space="0"/>
            </w:tcBorders>
            <w:noWrap w:val="0"/>
            <w:vAlign w:val="top"/>
          </w:tcPr>
          <w:p w14:paraId="4D197752">
            <w:pPr>
              <w:pStyle w:val="15"/>
              <w:rPr>
                <w:rFonts w:ascii="Times New Roman"/>
                <w:sz w:val="20"/>
              </w:rPr>
            </w:pPr>
          </w:p>
        </w:tc>
        <w:tc>
          <w:tcPr>
            <w:tcW w:w="1819" w:type="dxa"/>
            <w:tcBorders>
              <w:top w:val="single" w:color="000000" w:sz="6" w:space="0"/>
              <w:left w:val="single" w:color="000000" w:sz="6" w:space="0"/>
              <w:bottom w:val="single" w:color="000000" w:sz="6" w:space="0"/>
            </w:tcBorders>
            <w:noWrap w:val="0"/>
            <w:vAlign w:val="top"/>
          </w:tcPr>
          <w:p w14:paraId="4F73492A">
            <w:pPr>
              <w:pStyle w:val="15"/>
              <w:rPr>
                <w:rFonts w:ascii="Times New Roman"/>
                <w:sz w:val="20"/>
              </w:rPr>
            </w:pPr>
          </w:p>
        </w:tc>
      </w:tr>
      <w:tr w14:paraId="36E1D6E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9" w:hRule="atLeast"/>
        </w:trPr>
        <w:tc>
          <w:tcPr>
            <w:tcW w:w="708" w:type="dxa"/>
            <w:tcBorders>
              <w:top w:val="single" w:color="000000" w:sz="6" w:space="0"/>
              <w:right w:val="single" w:color="000000" w:sz="6" w:space="0"/>
            </w:tcBorders>
            <w:noWrap w:val="0"/>
            <w:vAlign w:val="top"/>
          </w:tcPr>
          <w:p w14:paraId="2016426F">
            <w:pPr>
              <w:pStyle w:val="15"/>
              <w:spacing w:before="109"/>
              <w:ind w:left="62" w:right="103"/>
              <w:jc w:val="center"/>
              <w:rPr>
                <w:sz w:val="21"/>
              </w:rPr>
            </w:pPr>
            <w:r>
              <w:rPr>
                <w:sz w:val="21"/>
              </w:rPr>
              <w:t>14</w:t>
            </w:r>
          </w:p>
        </w:tc>
        <w:tc>
          <w:tcPr>
            <w:tcW w:w="3509" w:type="dxa"/>
            <w:tcBorders>
              <w:top w:val="single" w:color="000000" w:sz="6" w:space="0"/>
              <w:left w:val="single" w:color="000000" w:sz="6" w:space="0"/>
              <w:right w:val="single" w:color="000000" w:sz="6" w:space="0"/>
            </w:tcBorders>
            <w:noWrap w:val="0"/>
            <w:vAlign w:val="top"/>
          </w:tcPr>
          <w:p w14:paraId="5857905B">
            <w:pPr>
              <w:pStyle w:val="15"/>
              <w:spacing w:before="68"/>
              <w:ind w:left="112"/>
              <w:rPr>
                <w:sz w:val="21"/>
              </w:rPr>
            </w:pPr>
            <w:r>
              <w:rPr>
                <w:sz w:val="21"/>
              </w:rPr>
              <w:t>合同生效</w:t>
            </w:r>
          </w:p>
        </w:tc>
        <w:tc>
          <w:tcPr>
            <w:tcW w:w="2467" w:type="dxa"/>
            <w:tcBorders>
              <w:top w:val="single" w:color="000000" w:sz="6" w:space="0"/>
              <w:left w:val="single" w:color="000000" w:sz="6" w:space="0"/>
              <w:right w:val="single" w:color="000000" w:sz="6" w:space="0"/>
            </w:tcBorders>
            <w:noWrap w:val="0"/>
            <w:vAlign w:val="top"/>
          </w:tcPr>
          <w:p w14:paraId="502FC640">
            <w:pPr>
              <w:pStyle w:val="15"/>
              <w:rPr>
                <w:rFonts w:ascii="Times New Roman"/>
                <w:sz w:val="20"/>
              </w:rPr>
            </w:pPr>
          </w:p>
        </w:tc>
        <w:tc>
          <w:tcPr>
            <w:tcW w:w="1819" w:type="dxa"/>
            <w:tcBorders>
              <w:top w:val="single" w:color="000000" w:sz="6" w:space="0"/>
              <w:left w:val="single" w:color="000000" w:sz="6" w:space="0"/>
            </w:tcBorders>
            <w:noWrap w:val="0"/>
            <w:vAlign w:val="top"/>
          </w:tcPr>
          <w:p w14:paraId="6BF29FB5">
            <w:pPr>
              <w:pStyle w:val="15"/>
              <w:rPr>
                <w:rFonts w:ascii="Times New Roman"/>
                <w:sz w:val="20"/>
              </w:rPr>
            </w:pPr>
          </w:p>
        </w:tc>
      </w:tr>
    </w:tbl>
    <w:p w14:paraId="45837920">
      <w:pPr>
        <w:pStyle w:val="5"/>
        <w:rPr>
          <w:sz w:val="20"/>
        </w:rPr>
      </w:pPr>
    </w:p>
    <w:p w14:paraId="1EB17302">
      <w:pPr>
        <w:pStyle w:val="5"/>
        <w:rPr>
          <w:sz w:val="20"/>
        </w:rPr>
      </w:pPr>
    </w:p>
    <w:p w14:paraId="7C9C305C">
      <w:pPr>
        <w:pStyle w:val="5"/>
        <w:rPr>
          <w:sz w:val="20"/>
        </w:rPr>
      </w:pPr>
    </w:p>
    <w:p w14:paraId="468B7A99">
      <w:pPr>
        <w:pStyle w:val="5"/>
        <w:rPr>
          <w:sz w:val="20"/>
        </w:rPr>
      </w:pPr>
    </w:p>
    <w:p w14:paraId="465CE7AC">
      <w:pPr>
        <w:pStyle w:val="5"/>
        <w:tabs>
          <w:tab w:val="left" w:pos="6123"/>
        </w:tabs>
        <w:spacing w:before="167"/>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2E8A8FC4">
      <w:pPr>
        <w:pStyle w:val="5"/>
        <w:spacing w:before="6"/>
        <w:rPr>
          <w:rFonts w:ascii="Times New Roman"/>
          <w:sz w:val="26"/>
        </w:rPr>
      </w:pPr>
    </w:p>
    <w:p w14:paraId="433CBCB3">
      <w:pPr>
        <w:pStyle w:val="5"/>
        <w:tabs>
          <w:tab w:val="left" w:pos="6327"/>
          <w:tab w:val="left" w:pos="7997"/>
          <w:tab w:val="left" w:pos="9136"/>
        </w:tabs>
        <w:spacing w:before="72"/>
        <w:ind w:left="398"/>
        <w:rPr>
          <w:rFonts w:ascii="Times New Roman" w:eastAsia="Times New Roman"/>
        </w:r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r>
        <w:rPr>
          <w:rFonts w:ascii="Times New Roman" w:eastAsia="Times New Roman"/>
          <w:u w:val="single"/>
        </w:rPr>
        <w:t xml:space="preserve"> </w:t>
      </w:r>
      <w:r>
        <w:rPr>
          <w:rFonts w:ascii="Times New Roman" w:eastAsia="Times New Roman"/>
          <w:u w:val="single"/>
        </w:rPr>
        <w:tab/>
      </w:r>
    </w:p>
    <w:p w14:paraId="7E070F71">
      <w:pPr>
        <w:rPr>
          <w:rFonts w:ascii="Times New Roman" w:eastAsia="Times New Roman"/>
        </w:rPr>
        <w:sectPr>
          <w:type w:val="continuous"/>
          <w:pgSz w:w="11910" w:h="16840"/>
          <w:pgMar w:top="1580" w:right="1340" w:bottom="280" w:left="1020" w:header="720" w:footer="720" w:gutter="0"/>
          <w:pgNumType w:fmt="decimal"/>
          <w:cols w:space="720" w:num="1"/>
        </w:sectPr>
      </w:pPr>
    </w:p>
    <w:p w14:paraId="15E9FFD5">
      <w:pPr>
        <w:pStyle w:val="5"/>
        <w:spacing w:before="1" w:line="278" w:lineRule="auto"/>
        <w:ind w:left="398" w:right="404"/>
      </w:pPr>
      <w:r>
        <w:t>填报。</w:t>
      </w:r>
    </w:p>
    <w:p w14:paraId="300D5DBC">
      <w:pPr>
        <w:spacing w:line="278" w:lineRule="auto"/>
        <w:sectPr>
          <w:type w:val="continuous"/>
          <w:pgSz w:w="11910" w:h="16840"/>
          <w:pgMar w:top="1580" w:right="1340" w:bottom="280" w:left="1020" w:header="720" w:footer="720" w:gutter="0"/>
          <w:pgNumType w:fmt="decimal"/>
          <w:cols w:space="720" w:num="1"/>
        </w:sectPr>
      </w:pPr>
    </w:p>
    <w:p w14:paraId="2AC2E4F0">
      <w:pPr>
        <w:spacing w:before="133"/>
        <w:ind w:left="398"/>
        <w:rPr>
          <w:rFonts w:hint="default"/>
          <w:b/>
          <w:sz w:val="28"/>
        </w:rPr>
      </w:pPr>
      <w:r>
        <w:rPr>
          <w:b/>
          <w:sz w:val="28"/>
        </w:rPr>
        <w:t>格式</w:t>
      </w:r>
      <w:r>
        <w:rPr>
          <w:rFonts w:hint="default"/>
          <w:b/>
          <w:sz w:val="28"/>
        </w:rPr>
        <w:t>10</w:t>
      </w:r>
    </w:p>
    <w:p w14:paraId="75A2FF3A">
      <w:pPr>
        <w:pStyle w:val="5"/>
        <w:rPr>
          <w:b/>
          <w:sz w:val="32"/>
        </w:rPr>
      </w:pPr>
      <w:r>
        <w:br w:type="column"/>
      </w:r>
    </w:p>
    <w:p w14:paraId="23E42879">
      <w:pPr>
        <w:spacing w:before="214"/>
        <w:ind w:left="398"/>
        <w:rPr>
          <w:b/>
          <w:sz w:val="32"/>
        </w:rPr>
      </w:pPr>
      <w:r>
        <w:rPr>
          <w:b/>
          <w:sz w:val="32"/>
        </w:rPr>
        <w:t>残疾人福利性单位声明函（如适用）</w:t>
      </w:r>
    </w:p>
    <w:p w14:paraId="41A75465">
      <w:pPr>
        <w:rPr>
          <w:sz w:val="32"/>
        </w:rPr>
        <w:sectPr>
          <w:pgSz w:w="11910" w:h="16840"/>
          <w:pgMar w:top="1360" w:right="1340" w:bottom="1420" w:left="1020" w:header="567" w:footer="1216" w:gutter="0"/>
          <w:pgNumType w:fmt="decimal"/>
          <w:cols w:equalWidth="0" w:num="2">
            <w:col w:w="1284" w:space="489"/>
            <w:col w:w="7777"/>
          </w:cols>
        </w:sectPr>
      </w:pPr>
    </w:p>
    <w:p w14:paraId="626C6BED">
      <w:pPr>
        <w:pStyle w:val="5"/>
        <w:spacing w:before="4"/>
        <w:rPr>
          <w:b/>
          <w:sz w:val="19"/>
        </w:rPr>
      </w:pPr>
    </w:p>
    <w:p w14:paraId="072B4D95">
      <w:pPr>
        <w:pStyle w:val="5"/>
        <w:tabs>
          <w:tab w:val="left" w:pos="1661"/>
          <w:tab w:val="left" w:pos="2918"/>
        </w:tabs>
        <w:spacing w:before="71" w:line="364" w:lineRule="auto"/>
        <w:ind w:left="398" w:right="185" w:firstLine="420"/>
      </w:pPr>
      <w:r>
        <w:t>本单</w:t>
      </w:r>
      <w:r>
        <w:rPr>
          <w:spacing w:val="-3"/>
        </w:rPr>
        <w:t>位</w:t>
      </w:r>
      <w:r>
        <w:t>郑</w:t>
      </w:r>
      <w:r>
        <w:rPr>
          <w:spacing w:val="-3"/>
        </w:rPr>
        <w:t>重</w:t>
      </w:r>
      <w:r>
        <w:t>声</w:t>
      </w:r>
      <w:r>
        <w:rPr>
          <w:spacing w:val="-3"/>
        </w:rPr>
        <w:t>明</w:t>
      </w:r>
      <w:r>
        <w:rPr>
          <w:spacing w:val="-39"/>
        </w:rPr>
        <w:t>，</w:t>
      </w:r>
      <w:r>
        <w:rPr>
          <w:spacing w:val="-3"/>
        </w:rPr>
        <w:t>根</w:t>
      </w:r>
      <w:r>
        <w:rPr>
          <w:spacing w:val="-39"/>
        </w:rPr>
        <w:t>据</w:t>
      </w:r>
      <w:r>
        <w:t>《</w:t>
      </w:r>
      <w:r>
        <w:rPr>
          <w:spacing w:val="-3"/>
        </w:rPr>
        <w:t>财</w:t>
      </w:r>
      <w:r>
        <w:t>政部</w:t>
      </w:r>
      <w:r>
        <w:rPr>
          <w:spacing w:val="30"/>
        </w:rPr>
        <w:t xml:space="preserve"> </w:t>
      </w:r>
      <w:r>
        <w:t>民</w:t>
      </w:r>
      <w:r>
        <w:rPr>
          <w:spacing w:val="-3"/>
        </w:rPr>
        <w:t>政</w:t>
      </w:r>
      <w:r>
        <w:t>部</w:t>
      </w:r>
      <w:r>
        <w:rPr>
          <w:spacing w:val="33"/>
        </w:rPr>
        <w:t xml:space="preserve"> </w:t>
      </w:r>
      <w:r>
        <w:rPr>
          <w:spacing w:val="-3"/>
        </w:rPr>
        <w:t>中</w:t>
      </w:r>
      <w:r>
        <w:t>国</w:t>
      </w:r>
      <w:r>
        <w:rPr>
          <w:spacing w:val="-3"/>
        </w:rPr>
        <w:t>残</w:t>
      </w:r>
      <w:r>
        <w:t>疾</w:t>
      </w:r>
      <w:r>
        <w:rPr>
          <w:spacing w:val="-3"/>
        </w:rPr>
        <w:t>人</w:t>
      </w:r>
      <w:r>
        <w:t>联合</w:t>
      </w:r>
      <w:r>
        <w:rPr>
          <w:spacing w:val="-3"/>
        </w:rPr>
        <w:t>会</w:t>
      </w:r>
      <w:r>
        <w:t>关</w:t>
      </w:r>
      <w:r>
        <w:rPr>
          <w:spacing w:val="-3"/>
        </w:rPr>
        <w:t>于</w:t>
      </w:r>
      <w:r>
        <w:t>促</w:t>
      </w:r>
      <w:r>
        <w:rPr>
          <w:spacing w:val="-3"/>
        </w:rPr>
        <w:t>进</w:t>
      </w:r>
      <w:r>
        <w:t>残</w:t>
      </w:r>
      <w:r>
        <w:rPr>
          <w:spacing w:val="-3"/>
        </w:rPr>
        <w:t>疾</w:t>
      </w:r>
      <w:r>
        <w:t>人</w:t>
      </w:r>
      <w:r>
        <w:rPr>
          <w:spacing w:val="-3"/>
        </w:rPr>
        <w:t>就</w:t>
      </w:r>
      <w:r>
        <w:t>业政</w:t>
      </w:r>
      <w:r>
        <w:rPr>
          <w:spacing w:val="-3"/>
        </w:rPr>
        <w:t>府</w:t>
      </w:r>
      <w:r>
        <w:t>采</w:t>
      </w:r>
      <w:r>
        <w:rPr>
          <w:spacing w:val="-3"/>
        </w:rPr>
        <w:t>购</w:t>
      </w:r>
      <w:r>
        <w:t>政策的通知》（财</w:t>
      </w:r>
      <w:r>
        <w:rPr>
          <w:spacing w:val="-3"/>
        </w:rPr>
        <w:t>库</w:t>
      </w:r>
      <w:r>
        <w:t>〔2017〕</w:t>
      </w:r>
      <w:r>
        <w:rPr>
          <w:spacing w:val="11"/>
        </w:rPr>
        <w:t xml:space="preserve"> </w:t>
      </w:r>
      <w:r>
        <w:t>141</w:t>
      </w:r>
      <w:r>
        <w:rPr>
          <w:spacing w:val="11"/>
        </w:rPr>
        <w:t xml:space="preserve"> </w:t>
      </w:r>
      <w:r>
        <w:t>号）的</w:t>
      </w:r>
      <w:r>
        <w:rPr>
          <w:spacing w:val="-3"/>
        </w:rPr>
        <w:t>规</w:t>
      </w:r>
      <w:r>
        <w:t>定，本</w:t>
      </w:r>
      <w:r>
        <w:rPr>
          <w:spacing w:val="-3"/>
        </w:rPr>
        <w:t>单</w:t>
      </w:r>
      <w:r>
        <w:t>位为符合条件的</w:t>
      </w:r>
      <w:r>
        <w:rPr>
          <w:spacing w:val="-3"/>
        </w:rPr>
        <w:t>残</w:t>
      </w:r>
      <w:r>
        <w:t>疾人</w:t>
      </w:r>
      <w:r>
        <w:rPr>
          <w:spacing w:val="-3"/>
        </w:rPr>
        <w:t>福</w:t>
      </w:r>
      <w:r>
        <w:t>利性单位，且</w:t>
      </w:r>
      <w:r>
        <w:rPr>
          <w:spacing w:val="-3"/>
        </w:rPr>
        <w:t>本</w:t>
      </w:r>
      <w:r>
        <w:t>单位参</w:t>
      </w:r>
      <w:r>
        <w:rPr>
          <w:spacing w:val="-3"/>
        </w:rPr>
        <w:t>加</w:t>
      </w:r>
      <w:r>
        <w:rPr>
          <w:rFonts w:ascii="Times New Roman" w:eastAsia="Times New Roman"/>
          <w:u w:val="single"/>
        </w:rPr>
        <w:t xml:space="preserve"> </w:t>
      </w:r>
      <w:r>
        <w:rPr>
          <w:rFonts w:ascii="Times New Roman" w:eastAsia="Times New Roman"/>
          <w:u w:val="single"/>
        </w:rPr>
        <w:tab/>
      </w:r>
      <w:r>
        <w:rPr>
          <w:spacing w:val="-3"/>
        </w:rPr>
        <w:t>单</w:t>
      </w:r>
      <w:r>
        <w:t>位</w:t>
      </w:r>
      <w:r>
        <w:rPr>
          <w:spacing w:val="-3"/>
        </w:rPr>
        <w:t>的</w:t>
      </w:r>
      <w:r>
        <w:rPr>
          <w:rFonts w:ascii="Times New Roman" w:eastAsia="Times New Roman"/>
          <w:u w:val="single"/>
        </w:rPr>
        <w:t xml:space="preserve"> </w:t>
      </w:r>
      <w:r>
        <w:rPr>
          <w:rFonts w:ascii="Times New Roman" w:eastAsia="Times New Roman"/>
          <w:u w:val="single"/>
        </w:rPr>
        <w:tab/>
      </w:r>
      <w:r>
        <w:t>项</w:t>
      </w:r>
      <w:r>
        <w:rPr>
          <w:spacing w:val="-3"/>
        </w:rPr>
        <w:t>目</w:t>
      </w:r>
      <w:r>
        <w:t>采</w:t>
      </w:r>
      <w:r>
        <w:rPr>
          <w:spacing w:val="-3"/>
        </w:rPr>
        <w:t>购</w:t>
      </w:r>
      <w:r>
        <w:t>活</w:t>
      </w:r>
      <w:r>
        <w:rPr>
          <w:spacing w:val="-3"/>
        </w:rPr>
        <w:t>动</w:t>
      </w:r>
      <w:r>
        <w:t>提</w:t>
      </w:r>
      <w:r>
        <w:rPr>
          <w:spacing w:val="-3"/>
        </w:rPr>
        <w:t>供</w:t>
      </w:r>
      <w:r>
        <w:t>本</w:t>
      </w:r>
      <w:r>
        <w:rPr>
          <w:spacing w:val="-3"/>
        </w:rPr>
        <w:t>单位</w:t>
      </w:r>
      <w:r>
        <w:t>制造</w:t>
      </w:r>
      <w:r>
        <w:rPr>
          <w:spacing w:val="-3"/>
        </w:rPr>
        <w:t>的</w:t>
      </w:r>
      <w:r>
        <w:t>货</w:t>
      </w:r>
      <w:r>
        <w:rPr>
          <w:spacing w:val="-92"/>
        </w:rPr>
        <w:t>物</w:t>
      </w:r>
      <w:r>
        <w:rPr>
          <w:spacing w:val="-3"/>
        </w:rPr>
        <w:t>（</w:t>
      </w:r>
      <w:r>
        <w:t>由</w:t>
      </w:r>
      <w:r>
        <w:rPr>
          <w:spacing w:val="-3"/>
        </w:rPr>
        <w:t>本</w:t>
      </w:r>
      <w:r>
        <w:t>单</w:t>
      </w:r>
      <w:r>
        <w:rPr>
          <w:spacing w:val="-3"/>
        </w:rPr>
        <w:t>位</w:t>
      </w:r>
      <w:r>
        <w:t>承</w:t>
      </w:r>
      <w:r>
        <w:rPr>
          <w:spacing w:val="-3"/>
        </w:rPr>
        <w:t>担</w:t>
      </w:r>
      <w:r>
        <w:t>工程</w:t>
      </w:r>
      <w:r>
        <w:rPr>
          <w:spacing w:val="-3"/>
        </w:rPr>
        <w:t>/</w:t>
      </w:r>
      <w:r>
        <w:t>提</w:t>
      </w:r>
      <w:r>
        <w:rPr>
          <w:spacing w:val="-3"/>
        </w:rPr>
        <w:t>供</w:t>
      </w:r>
      <w:r>
        <w:t>服务</w:t>
      </w:r>
      <w:r>
        <w:rPr>
          <w:spacing w:val="-92"/>
        </w:rPr>
        <w:t>）</w:t>
      </w:r>
      <w:r>
        <w:t>，或者</w:t>
      </w:r>
      <w:r>
        <w:rPr>
          <w:spacing w:val="-3"/>
        </w:rPr>
        <w:t>提</w:t>
      </w:r>
      <w:r>
        <w:t>供</w:t>
      </w:r>
      <w:r>
        <w:rPr>
          <w:spacing w:val="-3"/>
        </w:rPr>
        <w:t>其</w:t>
      </w:r>
      <w:r>
        <w:t>他</w:t>
      </w:r>
      <w:r>
        <w:rPr>
          <w:spacing w:val="-3"/>
        </w:rPr>
        <w:t>残</w:t>
      </w:r>
      <w:r>
        <w:t>疾</w:t>
      </w:r>
      <w:r>
        <w:rPr>
          <w:spacing w:val="-3"/>
        </w:rPr>
        <w:t>人</w:t>
      </w:r>
      <w:r>
        <w:t>福</w:t>
      </w:r>
      <w:r>
        <w:rPr>
          <w:spacing w:val="-3"/>
        </w:rPr>
        <w:t>利</w:t>
      </w:r>
      <w:r>
        <w:t>性单</w:t>
      </w:r>
      <w:r>
        <w:rPr>
          <w:spacing w:val="-3"/>
        </w:rPr>
        <w:t>位</w:t>
      </w:r>
      <w:r>
        <w:t>制</w:t>
      </w:r>
      <w:r>
        <w:rPr>
          <w:spacing w:val="-3"/>
        </w:rPr>
        <w:t>造</w:t>
      </w:r>
      <w:r>
        <w:t>的</w:t>
      </w:r>
      <w:r>
        <w:rPr>
          <w:spacing w:val="-3"/>
        </w:rPr>
        <w:t>货</w:t>
      </w:r>
      <w:r>
        <w:rPr>
          <w:spacing w:val="-92"/>
        </w:rPr>
        <w:t>物</w:t>
      </w:r>
      <w:r>
        <w:t>（</w:t>
      </w:r>
      <w:r>
        <w:rPr>
          <w:spacing w:val="-3"/>
        </w:rPr>
        <w:t>不</w:t>
      </w:r>
      <w:r>
        <w:t>包</w:t>
      </w:r>
      <w:r>
        <w:rPr>
          <w:spacing w:val="-3"/>
        </w:rPr>
        <w:t>括</w:t>
      </w:r>
      <w:r>
        <w:t>使用</w:t>
      </w:r>
      <w:r>
        <w:rPr>
          <w:spacing w:val="-3"/>
        </w:rPr>
        <w:t>非</w:t>
      </w:r>
      <w:r>
        <w:t>残</w:t>
      </w:r>
      <w:r>
        <w:rPr>
          <w:spacing w:val="-3"/>
        </w:rPr>
        <w:t>疾</w:t>
      </w:r>
      <w:r>
        <w:t>人</w:t>
      </w:r>
      <w:r>
        <w:rPr>
          <w:spacing w:val="-3"/>
        </w:rPr>
        <w:t>福</w:t>
      </w:r>
      <w:r>
        <w:t>利</w:t>
      </w:r>
      <w:r>
        <w:rPr>
          <w:spacing w:val="-3"/>
        </w:rPr>
        <w:t>性</w:t>
      </w:r>
      <w:r>
        <w:t>单</w:t>
      </w:r>
      <w:r>
        <w:rPr>
          <w:spacing w:val="-3"/>
        </w:rPr>
        <w:t>位</w:t>
      </w:r>
      <w:r>
        <w:t>注册</w:t>
      </w:r>
      <w:r>
        <w:rPr>
          <w:spacing w:val="-3"/>
        </w:rPr>
        <w:t>商</w:t>
      </w:r>
      <w:r>
        <w:t>标</w:t>
      </w:r>
      <w:r>
        <w:rPr>
          <w:spacing w:val="-3"/>
        </w:rPr>
        <w:t>的</w:t>
      </w:r>
      <w:r>
        <w:t>货</w:t>
      </w:r>
      <w:r>
        <w:rPr>
          <w:spacing w:val="-3"/>
        </w:rPr>
        <w:t>物</w:t>
      </w:r>
      <w:r>
        <w:rPr>
          <w:spacing w:val="-94"/>
        </w:rPr>
        <w:t>）</w:t>
      </w:r>
      <w:r>
        <w:t>。</w:t>
      </w:r>
    </w:p>
    <w:p w14:paraId="39CBA3B1">
      <w:pPr>
        <w:pStyle w:val="5"/>
        <w:spacing w:line="268" w:lineRule="exact"/>
        <w:ind w:left="818"/>
      </w:pPr>
      <w:r>
        <w:t>本单位对上述声明的真实性负责。如有虚假，将依法承担相应责任。</w:t>
      </w:r>
    </w:p>
    <w:p w14:paraId="7AD688D4">
      <w:pPr>
        <w:pStyle w:val="5"/>
        <w:rPr>
          <w:sz w:val="20"/>
        </w:rPr>
      </w:pPr>
    </w:p>
    <w:p w14:paraId="30E96536">
      <w:pPr>
        <w:pStyle w:val="5"/>
        <w:spacing w:before="9"/>
        <w:rPr>
          <w:sz w:val="22"/>
        </w:rPr>
      </w:pPr>
    </w:p>
    <w:p w14:paraId="37546E98">
      <w:pPr>
        <w:pStyle w:val="5"/>
        <w:tabs>
          <w:tab w:val="left" w:pos="6493"/>
        </w:tabs>
        <w:spacing w:line="364" w:lineRule="auto"/>
        <w:ind w:left="6071" w:right="1579"/>
      </w:pPr>
      <w:r>
        <w:t>单位</w:t>
      </w:r>
      <w:r>
        <w:rPr>
          <w:spacing w:val="-3"/>
        </w:rPr>
        <w:t>名</w:t>
      </w:r>
      <w:r>
        <w:t>称</w:t>
      </w:r>
      <w:r>
        <w:rPr>
          <w:spacing w:val="-3"/>
        </w:rPr>
        <w:t>（</w:t>
      </w:r>
      <w:r>
        <w:t>盖</w:t>
      </w:r>
      <w:r>
        <w:rPr>
          <w:spacing w:val="-3"/>
        </w:rPr>
        <w:t>章</w:t>
      </w:r>
      <w:r>
        <w:rPr>
          <w:spacing w:val="-8"/>
        </w:rPr>
        <w:t xml:space="preserve">）： </w:t>
      </w:r>
      <w:r>
        <w:t>日</w:t>
      </w:r>
      <w:r>
        <w:tab/>
      </w:r>
      <w:r>
        <w:rPr>
          <w:spacing w:val="-3"/>
        </w:rPr>
        <w:t>期：</w:t>
      </w:r>
    </w:p>
    <w:p w14:paraId="3E141189">
      <w:pPr>
        <w:spacing w:line="364" w:lineRule="auto"/>
        <w:sectPr>
          <w:type w:val="continuous"/>
          <w:pgSz w:w="11910" w:h="16840"/>
          <w:pgMar w:top="1580" w:right="1340" w:bottom="280" w:left="1020" w:header="720" w:footer="720" w:gutter="0"/>
          <w:pgNumType w:fmt="decimal"/>
          <w:cols w:space="720" w:num="1"/>
        </w:sectPr>
      </w:pPr>
    </w:p>
    <w:p w14:paraId="05E721A3">
      <w:pPr>
        <w:spacing w:before="133"/>
        <w:ind w:left="398"/>
        <w:rPr>
          <w:b/>
          <w:sz w:val="32"/>
        </w:rPr>
      </w:pPr>
      <w:r>
        <w:rPr>
          <w:b/>
          <w:sz w:val="28"/>
        </w:rPr>
        <w:t>格式</w:t>
      </w:r>
      <w:r>
        <w:rPr>
          <w:rFonts w:hint="default"/>
          <w:b/>
          <w:sz w:val="28"/>
        </w:rPr>
        <w:t>11</w:t>
      </w:r>
      <w:r>
        <w:br w:type="column"/>
      </w:r>
    </w:p>
    <w:p w14:paraId="0CBE02B9">
      <w:pPr>
        <w:spacing w:before="214"/>
        <w:ind w:left="398"/>
        <w:rPr>
          <w:b/>
          <w:sz w:val="32"/>
        </w:rPr>
      </w:pPr>
      <w:r>
        <w:rPr>
          <w:b/>
          <w:sz w:val="32"/>
        </w:rPr>
        <w:t>节能产品、环境标志产品一览表（如有）</w:t>
      </w:r>
    </w:p>
    <w:p w14:paraId="7BFB5322">
      <w:pPr>
        <w:rPr>
          <w:sz w:val="32"/>
        </w:rPr>
        <w:sectPr>
          <w:pgSz w:w="11910" w:h="16840"/>
          <w:pgMar w:top="1360" w:right="1340" w:bottom="1420" w:left="1020" w:header="567" w:footer="1216" w:gutter="0"/>
          <w:pgNumType w:fmt="decimal"/>
          <w:cols w:equalWidth="0" w:num="2">
            <w:col w:w="1284" w:space="168"/>
            <w:col w:w="8098"/>
          </w:cols>
        </w:sectPr>
      </w:pPr>
    </w:p>
    <w:p w14:paraId="582359FE">
      <w:pPr>
        <w:pStyle w:val="5"/>
        <w:spacing w:before="10"/>
        <w:rPr>
          <w:b/>
          <w:sz w:val="24"/>
        </w:rPr>
      </w:pPr>
    </w:p>
    <w:tbl>
      <w:tblPr>
        <w:tblStyle w:val="10"/>
        <w:tblW w:w="0" w:type="auto"/>
        <w:tblInd w:w="50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43"/>
        <w:gridCol w:w="1925"/>
        <w:gridCol w:w="1627"/>
        <w:gridCol w:w="3120"/>
      </w:tblGrid>
      <w:tr w14:paraId="5CFED8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1843" w:type="dxa"/>
            <w:tcBorders>
              <w:bottom w:val="single" w:color="000000" w:sz="4" w:space="0"/>
              <w:right w:val="single" w:color="000000" w:sz="4" w:space="0"/>
            </w:tcBorders>
            <w:noWrap w:val="0"/>
            <w:vAlign w:val="top"/>
          </w:tcPr>
          <w:p w14:paraId="256C337F">
            <w:pPr>
              <w:pStyle w:val="15"/>
              <w:spacing w:before="178"/>
              <w:ind w:left="680" w:right="680"/>
              <w:jc w:val="center"/>
              <w:rPr>
                <w:b/>
                <w:sz w:val="21"/>
              </w:rPr>
            </w:pPr>
            <w:r>
              <w:rPr>
                <w:b/>
                <w:sz w:val="21"/>
              </w:rPr>
              <w:t>类别</w:t>
            </w:r>
          </w:p>
        </w:tc>
        <w:tc>
          <w:tcPr>
            <w:tcW w:w="1925" w:type="dxa"/>
            <w:tcBorders>
              <w:left w:val="single" w:color="000000" w:sz="4" w:space="0"/>
              <w:bottom w:val="single" w:color="000000" w:sz="4" w:space="0"/>
              <w:right w:val="single" w:color="000000" w:sz="4" w:space="0"/>
            </w:tcBorders>
            <w:noWrap w:val="0"/>
            <w:vAlign w:val="top"/>
          </w:tcPr>
          <w:p w14:paraId="176706EA">
            <w:pPr>
              <w:pStyle w:val="15"/>
              <w:spacing w:before="22"/>
              <w:ind w:left="206" w:right="192"/>
              <w:jc w:val="center"/>
              <w:rPr>
                <w:b/>
                <w:sz w:val="21"/>
              </w:rPr>
            </w:pPr>
            <w:r>
              <w:rPr>
                <w:b/>
                <w:sz w:val="21"/>
              </w:rPr>
              <w:t>产品名称</w:t>
            </w:r>
          </w:p>
          <w:p w14:paraId="265B0A9D">
            <w:pPr>
              <w:pStyle w:val="15"/>
              <w:spacing w:before="43"/>
              <w:ind w:left="206" w:right="192"/>
              <w:jc w:val="center"/>
              <w:rPr>
                <w:b/>
                <w:sz w:val="21"/>
              </w:rPr>
            </w:pPr>
            <w:r>
              <w:rPr>
                <w:b/>
                <w:sz w:val="21"/>
              </w:rPr>
              <w:t>（品牌、型号）</w:t>
            </w:r>
          </w:p>
        </w:tc>
        <w:tc>
          <w:tcPr>
            <w:tcW w:w="1627" w:type="dxa"/>
            <w:tcBorders>
              <w:left w:val="single" w:color="000000" w:sz="4" w:space="0"/>
              <w:bottom w:val="single" w:color="000000" w:sz="4" w:space="0"/>
              <w:right w:val="single" w:color="000000" w:sz="4" w:space="0"/>
            </w:tcBorders>
            <w:noWrap w:val="0"/>
            <w:vAlign w:val="top"/>
          </w:tcPr>
          <w:p w14:paraId="42476FC4">
            <w:pPr>
              <w:pStyle w:val="15"/>
              <w:spacing w:before="178"/>
              <w:ind w:left="497"/>
              <w:rPr>
                <w:b/>
                <w:sz w:val="21"/>
              </w:rPr>
            </w:pPr>
            <w:r>
              <w:rPr>
                <w:b/>
                <w:sz w:val="21"/>
              </w:rPr>
              <w:t>制造商</w:t>
            </w:r>
          </w:p>
        </w:tc>
        <w:tc>
          <w:tcPr>
            <w:tcW w:w="3120" w:type="dxa"/>
            <w:tcBorders>
              <w:left w:val="single" w:color="000000" w:sz="4" w:space="0"/>
              <w:bottom w:val="single" w:color="000000" w:sz="4" w:space="0"/>
            </w:tcBorders>
            <w:noWrap w:val="0"/>
            <w:vAlign w:val="top"/>
          </w:tcPr>
          <w:p w14:paraId="4628DC36">
            <w:pPr>
              <w:pStyle w:val="15"/>
              <w:spacing w:before="178"/>
              <w:ind w:left="929"/>
              <w:rPr>
                <w:b/>
                <w:sz w:val="21"/>
              </w:rPr>
            </w:pPr>
            <w:r>
              <w:rPr>
                <w:b/>
                <w:sz w:val="21"/>
              </w:rPr>
              <w:t>认证证书编号</w:t>
            </w:r>
          </w:p>
        </w:tc>
      </w:tr>
      <w:tr w14:paraId="2D9012B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trPr>
        <w:tc>
          <w:tcPr>
            <w:tcW w:w="1843" w:type="dxa"/>
            <w:vMerge w:val="restart"/>
            <w:tcBorders>
              <w:top w:val="single" w:color="000000" w:sz="4" w:space="0"/>
              <w:bottom w:val="single" w:color="000000" w:sz="4" w:space="0"/>
              <w:right w:val="single" w:color="000000" w:sz="4" w:space="0"/>
            </w:tcBorders>
            <w:noWrap w:val="0"/>
            <w:vAlign w:val="top"/>
          </w:tcPr>
          <w:p w14:paraId="13BB3657">
            <w:pPr>
              <w:pStyle w:val="15"/>
              <w:spacing w:before="6"/>
              <w:rPr>
                <w:b/>
                <w:sz w:val="14"/>
              </w:rPr>
            </w:pPr>
          </w:p>
          <w:p w14:paraId="0CC8E103">
            <w:pPr>
              <w:pStyle w:val="15"/>
              <w:ind w:left="498"/>
              <w:rPr>
                <w:b/>
                <w:sz w:val="21"/>
              </w:rPr>
            </w:pPr>
            <w:r>
              <w:rPr>
                <w:b/>
                <w:sz w:val="21"/>
              </w:rPr>
              <w:t>节能产品</w:t>
            </w:r>
          </w:p>
        </w:tc>
        <w:tc>
          <w:tcPr>
            <w:tcW w:w="1925" w:type="dxa"/>
            <w:tcBorders>
              <w:top w:val="single" w:color="000000" w:sz="4" w:space="0"/>
              <w:left w:val="single" w:color="000000" w:sz="4" w:space="0"/>
              <w:bottom w:val="single" w:color="000000" w:sz="4" w:space="0"/>
              <w:right w:val="single" w:color="000000" w:sz="4" w:space="0"/>
            </w:tcBorders>
            <w:noWrap w:val="0"/>
            <w:vAlign w:val="top"/>
          </w:tcPr>
          <w:p w14:paraId="57A9E11D">
            <w:pPr>
              <w:pStyle w:val="15"/>
              <w:rPr>
                <w:rFonts w:ascii="Times New Roman"/>
                <w:sz w:val="20"/>
              </w:rPr>
            </w:pPr>
          </w:p>
        </w:tc>
        <w:tc>
          <w:tcPr>
            <w:tcW w:w="1627" w:type="dxa"/>
            <w:tcBorders>
              <w:top w:val="single" w:color="000000" w:sz="4" w:space="0"/>
              <w:left w:val="single" w:color="000000" w:sz="4" w:space="0"/>
              <w:bottom w:val="single" w:color="000000" w:sz="4" w:space="0"/>
              <w:right w:val="single" w:color="000000" w:sz="4" w:space="0"/>
            </w:tcBorders>
            <w:noWrap w:val="0"/>
            <w:vAlign w:val="top"/>
          </w:tcPr>
          <w:p w14:paraId="324A199C">
            <w:pPr>
              <w:pStyle w:val="15"/>
              <w:rPr>
                <w:rFonts w:ascii="Times New Roman"/>
                <w:sz w:val="20"/>
              </w:rPr>
            </w:pPr>
          </w:p>
        </w:tc>
        <w:tc>
          <w:tcPr>
            <w:tcW w:w="3120" w:type="dxa"/>
            <w:tcBorders>
              <w:top w:val="single" w:color="000000" w:sz="4" w:space="0"/>
              <w:left w:val="single" w:color="000000" w:sz="4" w:space="0"/>
              <w:bottom w:val="single" w:color="000000" w:sz="4" w:space="0"/>
            </w:tcBorders>
            <w:noWrap w:val="0"/>
            <w:vAlign w:val="top"/>
          </w:tcPr>
          <w:p w14:paraId="413E321E">
            <w:pPr>
              <w:pStyle w:val="15"/>
              <w:rPr>
                <w:rFonts w:ascii="Times New Roman"/>
                <w:sz w:val="20"/>
              </w:rPr>
            </w:pPr>
          </w:p>
        </w:tc>
      </w:tr>
      <w:tr w14:paraId="7EE91F2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843" w:type="dxa"/>
            <w:vMerge w:val="continue"/>
            <w:tcBorders>
              <w:top w:val="nil"/>
              <w:bottom w:val="single" w:color="000000" w:sz="4" w:space="0"/>
              <w:right w:val="single" w:color="000000" w:sz="4" w:space="0"/>
            </w:tcBorders>
            <w:noWrap w:val="0"/>
            <w:vAlign w:val="top"/>
          </w:tcPr>
          <w:p w14:paraId="790E115B">
            <w:pPr>
              <w:rPr>
                <w:sz w:val="2"/>
                <w:szCs w:val="2"/>
              </w:rPr>
            </w:pPr>
          </w:p>
        </w:tc>
        <w:tc>
          <w:tcPr>
            <w:tcW w:w="1925" w:type="dxa"/>
            <w:tcBorders>
              <w:top w:val="single" w:color="000000" w:sz="4" w:space="0"/>
              <w:left w:val="single" w:color="000000" w:sz="4" w:space="0"/>
              <w:bottom w:val="single" w:color="000000" w:sz="4" w:space="0"/>
              <w:right w:val="single" w:color="000000" w:sz="4" w:space="0"/>
            </w:tcBorders>
            <w:noWrap w:val="0"/>
            <w:vAlign w:val="top"/>
          </w:tcPr>
          <w:p w14:paraId="3989AF0A">
            <w:pPr>
              <w:pStyle w:val="15"/>
              <w:rPr>
                <w:rFonts w:ascii="Times New Roman"/>
                <w:sz w:val="20"/>
              </w:rPr>
            </w:pPr>
          </w:p>
        </w:tc>
        <w:tc>
          <w:tcPr>
            <w:tcW w:w="1627" w:type="dxa"/>
            <w:tcBorders>
              <w:top w:val="single" w:color="000000" w:sz="4" w:space="0"/>
              <w:left w:val="single" w:color="000000" w:sz="4" w:space="0"/>
              <w:bottom w:val="single" w:color="000000" w:sz="4" w:space="0"/>
              <w:right w:val="single" w:color="000000" w:sz="4" w:space="0"/>
            </w:tcBorders>
            <w:noWrap w:val="0"/>
            <w:vAlign w:val="top"/>
          </w:tcPr>
          <w:p w14:paraId="22985A30">
            <w:pPr>
              <w:pStyle w:val="15"/>
              <w:rPr>
                <w:rFonts w:ascii="Times New Roman"/>
                <w:sz w:val="20"/>
              </w:rPr>
            </w:pPr>
          </w:p>
        </w:tc>
        <w:tc>
          <w:tcPr>
            <w:tcW w:w="3120" w:type="dxa"/>
            <w:tcBorders>
              <w:top w:val="single" w:color="000000" w:sz="4" w:space="0"/>
              <w:left w:val="single" w:color="000000" w:sz="4" w:space="0"/>
              <w:bottom w:val="single" w:color="000000" w:sz="4" w:space="0"/>
            </w:tcBorders>
            <w:noWrap w:val="0"/>
            <w:vAlign w:val="top"/>
          </w:tcPr>
          <w:p w14:paraId="707941BA">
            <w:pPr>
              <w:pStyle w:val="15"/>
              <w:rPr>
                <w:rFonts w:ascii="Times New Roman"/>
                <w:sz w:val="20"/>
              </w:rPr>
            </w:pPr>
          </w:p>
        </w:tc>
      </w:tr>
      <w:tr w14:paraId="36BFAB8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843" w:type="dxa"/>
            <w:vMerge w:val="restart"/>
            <w:tcBorders>
              <w:top w:val="single" w:color="000000" w:sz="4" w:space="0"/>
              <w:bottom w:val="single" w:color="000000" w:sz="4" w:space="0"/>
              <w:right w:val="single" w:color="000000" w:sz="4" w:space="0"/>
            </w:tcBorders>
            <w:noWrap w:val="0"/>
            <w:vAlign w:val="top"/>
          </w:tcPr>
          <w:p w14:paraId="21C02F4F">
            <w:pPr>
              <w:pStyle w:val="15"/>
              <w:spacing w:before="4"/>
              <w:rPr>
                <w:b/>
                <w:sz w:val="14"/>
              </w:rPr>
            </w:pPr>
          </w:p>
          <w:p w14:paraId="6E4B43F3">
            <w:pPr>
              <w:pStyle w:val="15"/>
              <w:ind w:left="287"/>
              <w:rPr>
                <w:b/>
                <w:sz w:val="21"/>
              </w:rPr>
            </w:pPr>
            <w:r>
              <w:rPr>
                <w:b/>
                <w:sz w:val="21"/>
              </w:rPr>
              <w:t>环境标志产品</w:t>
            </w:r>
          </w:p>
        </w:tc>
        <w:tc>
          <w:tcPr>
            <w:tcW w:w="1925" w:type="dxa"/>
            <w:tcBorders>
              <w:top w:val="single" w:color="000000" w:sz="4" w:space="0"/>
              <w:left w:val="single" w:color="000000" w:sz="4" w:space="0"/>
              <w:bottom w:val="single" w:color="000000" w:sz="4" w:space="0"/>
              <w:right w:val="single" w:color="000000" w:sz="4" w:space="0"/>
            </w:tcBorders>
            <w:noWrap w:val="0"/>
            <w:vAlign w:val="top"/>
          </w:tcPr>
          <w:p w14:paraId="336B5535">
            <w:pPr>
              <w:pStyle w:val="15"/>
              <w:rPr>
                <w:rFonts w:ascii="Times New Roman"/>
                <w:sz w:val="20"/>
              </w:rPr>
            </w:pPr>
          </w:p>
        </w:tc>
        <w:tc>
          <w:tcPr>
            <w:tcW w:w="1627" w:type="dxa"/>
            <w:tcBorders>
              <w:top w:val="single" w:color="000000" w:sz="4" w:space="0"/>
              <w:left w:val="single" w:color="000000" w:sz="4" w:space="0"/>
              <w:bottom w:val="single" w:color="000000" w:sz="4" w:space="0"/>
              <w:right w:val="single" w:color="000000" w:sz="4" w:space="0"/>
            </w:tcBorders>
            <w:noWrap w:val="0"/>
            <w:vAlign w:val="top"/>
          </w:tcPr>
          <w:p w14:paraId="72CB441B">
            <w:pPr>
              <w:pStyle w:val="15"/>
              <w:rPr>
                <w:rFonts w:ascii="Times New Roman"/>
                <w:sz w:val="20"/>
              </w:rPr>
            </w:pPr>
          </w:p>
        </w:tc>
        <w:tc>
          <w:tcPr>
            <w:tcW w:w="3120" w:type="dxa"/>
            <w:tcBorders>
              <w:top w:val="single" w:color="000000" w:sz="4" w:space="0"/>
              <w:left w:val="single" w:color="000000" w:sz="4" w:space="0"/>
              <w:bottom w:val="single" w:color="000000" w:sz="4" w:space="0"/>
            </w:tcBorders>
            <w:noWrap w:val="0"/>
            <w:vAlign w:val="top"/>
          </w:tcPr>
          <w:p w14:paraId="0CFA7FB8">
            <w:pPr>
              <w:pStyle w:val="15"/>
              <w:rPr>
                <w:rFonts w:ascii="Times New Roman"/>
                <w:sz w:val="20"/>
              </w:rPr>
            </w:pPr>
          </w:p>
        </w:tc>
      </w:tr>
      <w:tr w14:paraId="346714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843" w:type="dxa"/>
            <w:vMerge w:val="continue"/>
            <w:tcBorders>
              <w:top w:val="nil"/>
              <w:bottom w:val="single" w:color="000000" w:sz="4" w:space="0"/>
              <w:right w:val="single" w:color="000000" w:sz="4" w:space="0"/>
            </w:tcBorders>
            <w:noWrap w:val="0"/>
            <w:vAlign w:val="top"/>
          </w:tcPr>
          <w:p w14:paraId="09298816">
            <w:pPr>
              <w:rPr>
                <w:sz w:val="2"/>
                <w:szCs w:val="2"/>
              </w:rPr>
            </w:pPr>
          </w:p>
        </w:tc>
        <w:tc>
          <w:tcPr>
            <w:tcW w:w="1925" w:type="dxa"/>
            <w:tcBorders>
              <w:top w:val="single" w:color="000000" w:sz="4" w:space="0"/>
              <w:left w:val="single" w:color="000000" w:sz="4" w:space="0"/>
              <w:bottom w:val="single" w:color="000000" w:sz="4" w:space="0"/>
              <w:right w:val="single" w:color="000000" w:sz="4" w:space="0"/>
            </w:tcBorders>
            <w:noWrap w:val="0"/>
            <w:vAlign w:val="top"/>
          </w:tcPr>
          <w:p w14:paraId="422164AB">
            <w:pPr>
              <w:pStyle w:val="15"/>
              <w:rPr>
                <w:rFonts w:ascii="Times New Roman"/>
                <w:sz w:val="20"/>
              </w:rPr>
            </w:pPr>
          </w:p>
        </w:tc>
        <w:tc>
          <w:tcPr>
            <w:tcW w:w="1627" w:type="dxa"/>
            <w:tcBorders>
              <w:top w:val="single" w:color="000000" w:sz="4" w:space="0"/>
              <w:left w:val="single" w:color="000000" w:sz="4" w:space="0"/>
              <w:bottom w:val="single" w:color="000000" w:sz="4" w:space="0"/>
              <w:right w:val="single" w:color="000000" w:sz="4" w:space="0"/>
            </w:tcBorders>
            <w:noWrap w:val="0"/>
            <w:vAlign w:val="top"/>
          </w:tcPr>
          <w:p w14:paraId="351C0963">
            <w:pPr>
              <w:pStyle w:val="15"/>
              <w:rPr>
                <w:rFonts w:ascii="Times New Roman"/>
                <w:sz w:val="20"/>
              </w:rPr>
            </w:pPr>
          </w:p>
        </w:tc>
        <w:tc>
          <w:tcPr>
            <w:tcW w:w="3120" w:type="dxa"/>
            <w:tcBorders>
              <w:top w:val="single" w:color="000000" w:sz="4" w:space="0"/>
              <w:left w:val="single" w:color="000000" w:sz="4" w:space="0"/>
              <w:bottom w:val="single" w:color="000000" w:sz="4" w:space="0"/>
            </w:tcBorders>
            <w:noWrap w:val="0"/>
            <w:vAlign w:val="top"/>
          </w:tcPr>
          <w:p w14:paraId="00E26999">
            <w:pPr>
              <w:pStyle w:val="15"/>
              <w:rPr>
                <w:rFonts w:ascii="Times New Roman"/>
                <w:sz w:val="20"/>
              </w:rPr>
            </w:pPr>
          </w:p>
        </w:tc>
      </w:tr>
      <w:tr w14:paraId="4FC05D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68" w:hRule="atLeast"/>
        </w:trPr>
        <w:tc>
          <w:tcPr>
            <w:tcW w:w="1843" w:type="dxa"/>
            <w:tcBorders>
              <w:top w:val="single" w:color="000000" w:sz="4" w:space="0"/>
              <w:right w:val="single" w:color="000000" w:sz="4" w:space="0"/>
            </w:tcBorders>
            <w:noWrap w:val="0"/>
            <w:vAlign w:val="top"/>
          </w:tcPr>
          <w:p w14:paraId="361E72CB">
            <w:pPr>
              <w:pStyle w:val="15"/>
              <w:rPr>
                <w:b/>
                <w:sz w:val="20"/>
              </w:rPr>
            </w:pPr>
          </w:p>
          <w:p w14:paraId="2AFE07B1">
            <w:pPr>
              <w:pStyle w:val="15"/>
              <w:rPr>
                <w:b/>
                <w:sz w:val="20"/>
              </w:rPr>
            </w:pPr>
          </w:p>
          <w:p w14:paraId="6DE4E8AC">
            <w:pPr>
              <w:pStyle w:val="15"/>
              <w:rPr>
                <w:b/>
                <w:sz w:val="20"/>
              </w:rPr>
            </w:pPr>
          </w:p>
          <w:p w14:paraId="0FF45D81">
            <w:pPr>
              <w:pStyle w:val="15"/>
              <w:rPr>
                <w:b/>
                <w:sz w:val="20"/>
              </w:rPr>
            </w:pPr>
          </w:p>
          <w:p w14:paraId="769CBC3E">
            <w:pPr>
              <w:pStyle w:val="15"/>
              <w:rPr>
                <w:b/>
                <w:sz w:val="20"/>
              </w:rPr>
            </w:pPr>
          </w:p>
          <w:p w14:paraId="1688E9E2">
            <w:pPr>
              <w:pStyle w:val="15"/>
              <w:spacing w:before="2"/>
              <w:rPr>
                <w:b/>
                <w:sz w:val="17"/>
              </w:rPr>
            </w:pPr>
          </w:p>
          <w:p w14:paraId="4F84540F">
            <w:pPr>
              <w:pStyle w:val="15"/>
              <w:ind w:left="18"/>
              <w:jc w:val="center"/>
              <w:rPr>
                <w:b/>
                <w:sz w:val="21"/>
              </w:rPr>
            </w:pPr>
            <w:r>
              <w:rPr>
                <w:b/>
                <w:sz w:val="21"/>
              </w:rPr>
              <w:t>注</w:t>
            </w:r>
          </w:p>
        </w:tc>
        <w:tc>
          <w:tcPr>
            <w:tcW w:w="6672" w:type="dxa"/>
            <w:gridSpan w:val="3"/>
            <w:tcBorders>
              <w:top w:val="single" w:color="000000" w:sz="4" w:space="0"/>
              <w:left w:val="single" w:color="000000" w:sz="4" w:space="0"/>
            </w:tcBorders>
            <w:noWrap w:val="0"/>
            <w:vAlign w:val="top"/>
          </w:tcPr>
          <w:p w14:paraId="1121102A">
            <w:pPr>
              <w:pStyle w:val="15"/>
              <w:spacing w:before="1" w:line="242" w:lineRule="auto"/>
              <w:ind w:left="-25" w:right="157"/>
              <w:jc w:val="both"/>
              <w:rPr>
                <w:sz w:val="21"/>
              </w:rPr>
            </w:pPr>
            <w:r>
              <w:rPr>
                <w:sz w:val="21"/>
              </w:rPr>
              <w:t>“节能产品、环保标志产品”是属于国家行业主管部门颁布的品目清单中的产品，须填写认证证书编号同时提供下述文件（复印件加盖投标人公章）：</w:t>
            </w:r>
          </w:p>
          <w:p w14:paraId="0C4683EF">
            <w:pPr>
              <w:pStyle w:val="15"/>
              <w:spacing w:before="3" w:line="242" w:lineRule="auto"/>
              <w:ind w:left="117" w:right="71"/>
              <w:jc w:val="both"/>
              <w:rPr>
                <w:sz w:val="21"/>
              </w:rPr>
            </w:pPr>
            <w:r>
              <w:rPr>
                <w:sz w:val="21"/>
              </w:rPr>
              <w:t>1</w:t>
            </w:r>
            <w:r>
              <w:rPr>
                <w:spacing w:val="-3"/>
                <w:sz w:val="21"/>
              </w:rPr>
              <w:t>、属于“节能产品政府采购品目清单”中的产品，提供节能产品认证</w:t>
            </w:r>
            <w:r>
              <w:rPr>
                <w:spacing w:val="-8"/>
                <w:sz w:val="21"/>
              </w:rPr>
              <w:t>证书复印件及《节能产品政府采购品目清单》中投标产品所在清单页并</w:t>
            </w:r>
            <w:r>
              <w:rPr>
                <w:spacing w:val="-6"/>
                <w:sz w:val="21"/>
              </w:rPr>
              <w:t>对所投产品作出明显标示</w:t>
            </w:r>
            <w:r>
              <w:rPr>
                <w:sz w:val="21"/>
              </w:rPr>
              <w:t>（</w:t>
            </w:r>
            <w:r>
              <w:rPr>
                <w:spacing w:val="-4"/>
                <w:sz w:val="21"/>
              </w:rPr>
              <w:t>如划线、圈记等</w:t>
            </w:r>
            <w:r>
              <w:rPr>
                <w:spacing w:val="-13"/>
                <w:sz w:val="21"/>
              </w:rPr>
              <w:t>）</w:t>
            </w:r>
            <w:r>
              <w:rPr>
                <w:spacing w:val="-6"/>
                <w:sz w:val="21"/>
              </w:rPr>
              <w:t>。“节能产品政府采购品</w:t>
            </w:r>
            <w:r>
              <w:rPr>
                <w:spacing w:val="-4"/>
                <w:sz w:val="21"/>
              </w:rPr>
              <w:t>目清单”可参见中国政府采购网</w:t>
            </w:r>
            <w:r>
              <w:fldChar w:fldCharType="begin"/>
            </w:r>
            <w:r>
              <w:instrText xml:space="preserve"> HYPERLINK "http://www.ccgp.gov.cn/" \h </w:instrText>
            </w:r>
            <w:r>
              <w:fldChar w:fldCharType="separate"/>
            </w:r>
            <w:r>
              <w:rPr>
                <w:sz w:val="21"/>
              </w:rPr>
              <w:t>（http://www.ccgp.gov.cn</w:t>
            </w:r>
            <w:r>
              <w:rPr>
                <w:sz w:val="21"/>
              </w:rPr>
              <w:fldChar w:fldCharType="end"/>
            </w:r>
            <w:r>
              <w:rPr>
                <w:sz w:val="21"/>
              </w:rPr>
              <w:t>）</w:t>
            </w:r>
            <w:r>
              <w:rPr>
                <w:spacing w:val="-3"/>
                <w:sz w:val="21"/>
              </w:rPr>
              <w:t>。</w:t>
            </w:r>
          </w:p>
          <w:p w14:paraId="607B46D7">
            <w:pPr>
              <w:pStyle w:val="15"/>
              <w:spacing w:before="3" w:line="242" w:lineRule="auto"/>
              <w:ind w:left="117" w:right="71"/>
              <w:jc w:val="both"/>
              <w:rPr>
                <w:sz w:val="21"/>
              </w:rPr>
            </w:pPr>
            <w:r>
              <w:rPr>
                <w:sz w:val="21"/>
              </w:rPr>
              <w:t>2</w:t>
            </w:r>
            <w:r>
              <w:rPr>
                <w:spacing w:val="-3"/>
                <w:sz w:val="21"/>
              </w:rPr>
              <w:t>、属于“环境标志产品政府采购品目清单”中的产品，提供环境标志</w:t>
            </w:r>
            <w:r>
              <w:rPr>
                <w:spacing w:val="-7"/>
                <w:sz w:val="21"/>
              </w:rPr>
              <w:t>产品认证证书复印件及《环境标志产品政府采购品目清单》中投标产品</w:t>
            </w:r>
            <w:r>
              <w:rPr>
                <w:spacing w:val="-6"/>
                <w:sz w:val="21"/>
              </w:rPr>
              <w:t>所在清单页并对所投产品作出明显标示</w:t>
            </w:r>
            <w:r>
              <w:rPr>
                <w:sz w:val="21"/>
              </w:rPr>
              <w:t>（</w:t>
            </w:r>
            <w:r>
              <w:rPr>
                <w:spacing w:val="-5"/>
                <w:sz w:val="21"/>
              </w:rPr>
              <w:t>如划线、圈记等</w:t>
            </w:r>
            <w:r>
              <w:rPr>
                <w:spacing w:val="-13"/>
                <w:sz w:val="21"/>
              </w:rPr>
              <w:t>）</w:t>
            </w:r>
            <w:r>
              <w:rPr>
                <w:spacing w:val="-8"/>
                <w:sz w:val="21"/>
              </w:rPr>
              <w:t>。“环境标</w:t>
            </w:r>
            <w:r>
              <w:rPr>
                <w:spacing w:val="-5"/>
                <w:sz w:val="21"/>
              </w:rPr>
              <w:t>志产品政府采购品目清单”可参见中国政府采购网</w:t>
            </w:r>
          </w:p>
          <w:p w14:paraId="43670836">
            <w:pPr>
              <w:pStyle w:val="15"/>
              <w:spacing w:line="252" w:lineRule="exact"/>
              <w:ind w:left="117"/>
              <w:rPr>
                <w:sz w:val="21"/>
              </w:rPr>
            </w:pPr>
            <w:r>
              <w:fldChar w:fldCharType="begin"/>
            </w:r>
            <w:r>
              <w:instrText xml:space="preserve"> HYPERLINK "http://www.ccgp.gov.cn/" \h </w:instrText>
            </w:r>
            <w:r>
              <w:fldChar w:fldCharType="separate"/>
            </w:r>
            <w:r>
              <w:rPr>
                <w:sz w:val="21"/>
              </w:rPr>
              <w:t>（http://www.ccgp.gov.cn</w:t>
            </w:r>
            <w:r>
              <w:rPr>
                <w:sz w:val="21"/>
              </w:rPr>
              <w:fldChar w:fldCharType="end"/>
            </w:r>
            <w:r>
              <w:rPr>
                <w:sz w:val="21"/>
              </w:rPr>
              <w:t>）。</w:t>
            </w:r>
          </w:p>
        </w:tc>
      </w:tr>
    </w:tbl>
    <w:p w14:paraId="0FA159EA">
      <w:pPr>
        <w:pStyle w:val="5"/>
        <w:rPr>
          <w:b/>
          <w:sz w:val="20"/>
        </w:rPr>
      </w:pPr>
    </w:p>
    <w:p w14:paraId="6AB5B8F0">
      <w:pPr>
        <w:pStyle w:val="5"/>
        <w:rPr>
          <w:b/>
          <w:sz w:val="20"/>
        </w:rPr>
      </w:pPr>
    </w:p>
    <w:p w14:paraId="2C5CFCE3">
      <w:pPr>
        <w:pStyle w:val="5"/>
        <w:spacing w:before="11"/>
        <w:rPr>
          <w:b/>
          <w:sz w:val="22"/>
        </w:rPr>
      </w:pPr>
    </w:p>
    <w:p w14:paraId="3894CA7E">
      <w:pPr>
        <w:pStyle w:val="5"/>
        <w:tabs>
          <w:tab w:val="left" w:pos="6123"/>
        </w:tabs>
        <w:spacing w:before="79"/>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1CE43FDB">
      <w:pPr>
        <w:pStyle w:val="5"/>
        <w:rPr>
          <w:rFonts w:ascii="Times New Roman"/>
          <w:sz w:val="20"/>
        </w:rPr>
      </w:pPr>
    </w:p>
    <w:p w14:paraId="0655A0D5">
      <w:pPr>
        <w:pStyle w:val="5"/>
        <w:spacing w:before="1"/>
        <w:rPr>
          <w:rFonts w:ascii="Times New Roman"/>
          <w:sz w:val="20"/>
        </w:rPr>
      </w:pPr>
    </w:p>
    <w:p w14:paraId="5F20B095">
      <w:pPr>
        <w:pStyle w:val="5"/>
        <w:tabs>
          <w:tab w:val="left" w:pos="6327"/>
          <w:tab w:val="left" w:pos="7997"/>
          <w:tab w:val="left" w:pos="9136"/>
        </w:tabs>
        <w:ind w:left="398"/>
        <w:rPr>
          <w:rFonts w:ascii="Times New Roman" w:eastAsia="Times New Roman"/>
        </w:rPr>
        <w:sectPr>
          <w:type w:val="continuous"/>
          <w:pgSz w:w="11910" w:h="16840"/>
          <w:pgMar w:top="1580" w:right="1340" w:bottom="280" w:left="1020" w:header="720" w:footer="720" w:gutter="0"/>
          <w:pgNumType w:fmt="decimal"/>
          <w:cols w:space="720" w:num="1"/>
        </w:sect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r>
        <w:rPr>
          <w:rFonts w:ascii="Times New Roman" w:eastAsia="Times New Roman"/>
          <w:u w:val="single"/>
        </w:rPr>
        <w:t xml:space="preserve"> </w:t>
      </w:r>
      <w:r>
        <w:rPr>
          <w:rFonts w:ascii="Times New Roman" w:eastAsia="Times New Roman"/>
          <w:u w:val="single"/>
        </w:rPr>
        <w:tab/>
      </w:r>
    </w:p>
    <w:p w14:paraId="586429A7">
      <w:pPr>
        <w:spacing w:before="133"/>
        <w:ind w:left="398"/>
        <w:rPr>
          <w:rFonts w:hint="default"/>
          <w:b/>
          <w:sz w:val="28"/>
        </w:rPr>
      </w:pPr>
      <w:r>
        <w:rPr>
          <w:b/>
          <w:sz w:val="28"/>
        </w:rPr>
        <w:t>格式1</w:t>
      </w:r>
      <w:r>
        <w:rPr>
          <w:rFonts w:hint="default"/>
          <w:b/>
          <w:sz w:val="28"/>
        </w:rPr>
        <w:t>2</w:t>
      </w:r>
    </w:p>
    <w:p w14:paraId="4CD9555E">
      <w:pPr>
        <w:spacing w:before="133"/>
        <w:ind w:left="398"/>
        <w:rPr>
          <w:rFonts w:hint="default"/>
          <w:b/>
          <w:sz w:val="28"/>
        </w:rPr>
      </w:pPr>
    </w:p>
    <w:p w14:paraId="5A947DCC">
      <w:pPr>
        <w:spacing w:before="133"/>
        <w:ind w:left="398"/>
        <w:rPr>
          <w:rFonts w:hint="default"/>
          <w:b/>
          <w:sz w:val="28"/>
        </w:rPr>
      </w:pPr>
    </w:p>
    <w:p w14:paraId="1DC2BCF3">
      <w:pPr>
        <w:spacing w:before="133"/>
        <w:ind w:left="398"/>
        <w:rPr>
          <w:rFonts w:hint="default"/>
          <w:b/>
          <w:sz w:val="28"/>
        </w:rPr>
      </w:pPr>
    </w:p>
    <w:p w14:paraId="0E8CE29C">
      <w:pPr>
        <w:spacing w:before="133"/>
        <w:ind w:left="398"/>
        <w:rPr>
          <w:rFonts w:hint="default"/>
          <w:b/>
          <w:sz w:val="28"/>
        </w:rPr>
      </w:pPr>
    </w:p>
    <w:p w14:paraId="3D4F452C">
      <w:pPr>
        <w:spacing w:before="133"/>
        <w:ind w:left="398"/>
        <w:rPr>
          <w:rFonts w:hint="default"/>
          <w:b/>
          <w:sz w:val="28"/>
        </w:rPr>
      </w:pPr>
    </w:p>
    <w:p w14:paraId="36243F4F">
      <w:pPr>
        <w:spacing w:before="133"/>
        <w:ind w:left="398"/>
        <w:rPr>
          <w:rFonts w:hint="default"/>
          <w:b/>
          <w:sz w:val="28"/>
        </w:rPr>
      </w:pPr>
    </w:p>
    <w:p w14:paraId="23959B56">
      <w:pPr>
        <w:spacing w:before="133"/>
        <w:ind w:left="398"/>
        <w:rPr>
          <w:rFonts w:hint="default"/>
          <w:b/>
          <w:sz w:val="28"/>
        </w:rPr>
      </w:pPr>
    </w:p>
    <w:p w14:paraId="5A8CF7E7">
      <w:pPr>
        <w:spacing w:before="133"/>
        <w:ind w:left="398"/>
        <w:rPr>
          <w:rFonts w:hint="default"/>
          <w:b/>
          <w:sz w:val="28"/>
        </w:rPr>
      </w:pPr>
    </w:p>
    <w:p w14:paraId="608A8C55">
      <w:pPr>
        <w:spacing w:before="133"/>
        <w:ind w:left="398"/>
        <w:rPr>
          <w:rFonts w:hint="default"/>
          <w:b/>
          <w:sz w:val="28"/>
        </w:rPr>
      </w:pPr>
    </w:p>
    <w:p w14:paraId="7D1DEAD0">
      <w:pPr>
        <w:spacing w:before="214"/>
        <w:ind w:left="398"/>
        <w:rPr>
          <w:b/>
          <w:sz w:val="32"/>
        </w:rPr>
      </w:pPr>
    </w:p>
    <w:p w14:paraId="3FF622E6">
      <w:pPr>
        <w:spacing w:before="214"/>
        <w:ind w:left="398"/>
        <w:rPr>
          <w:sz w:val="32"/>
        </w:rPr>
      </w:pPr>
    </w:p>
    <w:p w14:paraId="7D7DB540">
      <w:pPr>
        <w:spacing w:before="214"/>
        <w:ind w:left="-1100" w:leftChars="-500" w:firstLine="438" w:firstLineChars="137"/>
        <w:jc w:val="center"/>
        <w:rPr>
          <w:rFonts w:hint="eastAsia"/>
          <w:sz w:val="32"/>
          <w:lang w:val="en-US" w:eastAsia="zh-Hans"/>
        </w:rPr>
      </w:pPr>
      <w:r>
        <w:rPr>
          <w:rFonts w:hint="eastAsia"/>
          <w:sz w:val="32"/>
          <w:lang w:val="en-US" w:eastAsia="zh-Hans"/>
        </w:rPr>
        <w:t>确认函</w:t>
      </w:r>
    </w:p>
    <w:p w14:paraId="54B6B84A">
      <w:pPr>
        <w:spacing w:before="214"/>
        <w:ind w:left="0"/>
        <w:rPr>
          <w:rFonts w:hint="eastAsia"/>
          <w:sz w:val="32"/>
          <w:lang w:val="en-US" w:eastAsia="zh-Hans"/>
        </w:rPr>
      </w:pPr>
    </w:p>
    <w:p w14:paraId="18FD8015">
      <w:pPr>
        <w:spacing w:before="214"/>
        <w:ind w:left="0"/>
        <w:rPr>
          <w:rFonts w:hint="eastAsia"/>
          <w:sz w:val="32"/>
          <w:lang w:val="en-US" w:eastAsia="zh-Hans"/>
        </w:rPr>
      </w:pPr>
      <w:r>
        <w:rPr>
          <w:rFonts w:hint="eastAsia"/>
          <w:sz w:val="32"/>
          <w:lang w:val="en-US" w:eastAsia="zh-Hans"/>
        </w:rPr>
        <w:t>致：广州医科大学附属妇女儿童医疗中心</w:t>
      </w:r>
    </w:p>
    <w:p w14:paraId="51A3687F">
      <w:pPr>
        <w:spacing w:before="214"/>
        <w:ind w:left="0"/>
        <w:rPr>
          <w:rFonts w:hint="eastAsia"/>
          <w:sz w:val="32"/>
          <w:lang w:val="en-US" w:eastAsia="zh-Hans"/>
        </w:rPr>
      </w:pPr>
    </w:p>
    <w:p w14:paraId="22E48625">
      <w:pPr>
        <w:spacing w:before="214"/>
        <w:ind w:left="0"/>
        <w:rPr>
          <w:rFonts w:hint="default"/>
          <w:sz w:val="32"/>
          <w:lang w:val="en-US" w:eastAsia="zh-Hans"/>
        </w:rPr>
        <w:sectPr>
          <w:pgSz w:w="11910" w:h="16840"/>
          <w:pgMar w:top="1360" w:right="1340" w:bottom="1420" w:left="1020" w:header="567" w:footer="1216" w:gutter="0"/>
          <w:pgNumType w:fmt="decimal"/>
          <w:cols w:equalWidth="0" w:num="2">
            <w:col w:w="1284" w:space="168"/>
            <w:col w:w="8098"/>
          </w:cols>
        </w:sectPr>
      </w:pPr>
      <w:r>
        <w:rPr>
          <w:rFonts w:hint="eastAsia"/>
          <w:sz w:val="32"/>
          <w:lang w:val="en-US" w:eastAsia="zh-Hans"/>
        </w:rPr>
        <w:t>我公司，（公司名），在此确认已阅读并完全同意合同内容，并自愿接受合同约束。我公司同意本确认函是合同不可分割的组成部分。本确认函自签字之日起与合同具有同等法律效力。</w:t>
      </w:r>
    </w:p>
    <w:p w14:paraId="5EBBBF1B">
      <w:pPr>
        <w:pStyle w:val="5"/>
        <w:spacing w:before="10"/>
        <w:rPr>
          <w:b/>
          <w:sz w:val="24"/>
        </w:rPr>
      </w:pPr>
    </w:p>
    <w:p w14:paraId="7A233DE3">
      <w:pPr>
        <w:pStyle w:val="5"/>
        <w:rPr>
          <w:b/>
          <w:sz w:val="20"/>
        </w:rPr>
      </w:pPr>
    </w:p>
    <w:p w14:paraId="2C68C14A">
      <w:pPr>
        <w:pStyle w:val="5"/>
        <w:rPr>
          <w:b/>
          <w:sz w:val="20"/>
        </w:rPr>
      </w:pPr>
    </w:p>
    <w:p w14:paraId="38178EB7">
      <w:pPr>
        <w:pStyle w:val="5"/>
        <w:spacing w:before="11"/>
        <w:rPr>
          <w:b/>
          <w:sz w:val="22"/>
        </w:rPr>
      </w:pPr>
    </w:p>
    <w:p w14:paraId="2039154B">
      <w:pPr>
        <w:pStyle w:val="5"/>
        <w:tabs>
          <w:tab w:val="left" w:pos="6123"/>
        </w:tabs>
        <w:spacing w:before="79"/>
        <w:ind w:left="398"/>
        <w:rPr>
          <w:rFonts w:ascii="Times New Roman" w:eastAsia="Times New Roman"/>
        </w:rPr>
      </w:pPr>
      <w:r>
        <w:rPr>
          <w:spacing w:val="7"/>
        </w:rPr>
        <w:t>投标人名称（盖公</w:t>
      </w:r>
      <w:r>
        <w:rPr>
          <w:spacing w:val="4"/>
        </w:rPr>
        <w:t>章</w:t>
      </w:r>
      <w:r>
        <w:rPr>
          <w:spacing w:val="5"/>
        </w:rPr>
        <w:t>）：</w:t>
      </w:r>
      <w:r>
        <w:rPr>
          <w:rFonts w:ascii="Times New Roman" w:eastAsia="Times New Roman"/>
          <w:u w:val="single"/>
        </w:rPr>
        <w:t xml:space="preserve"> </w:t>
      </w:r>
      <w:r>
        <w:rPr>
          <w:rFonts w:ascii="Times New Roman" w:eastAsia="Times New Roman"/>
          <w:u w:val="single"/>
        </w:rPr>
        <w:tab/>
      </w:r>
    </w:p>
    <w:p w14:paraId="1433DAFE">
      <w:pPr>
        <w:pStyle w:val="5"/>
        <w:rPr>
          <w:rFonts w:ascii="Times New Roman"/>
          <w:sz w:val="20"/>
        </w:rPr>
      </w:pPr>
    </w:p>
    <w:p w14:paraId="0452CD29">
      <w:pPr>
        <w:pStyle w:val="5"/>
        <w:spacing w:before="1"/>
        <w:rPr>
          <w:rFonts w:ascii="Times New Roman"/>
          <w:sz w:val="20"/>
        </w:rPr>
      </w:pPr>
    </w:p>
    <w:p w14:paraId="30B85659">
      <w:pPr>
        <w:pStyle w:val="5"/>
        <w:tabs>
          <w:tab w:val="left" w:pos="6327"/>
          <w:tab w:val="left" w:pos="7997"/>
          <w:tab w:val="left" w:pos="9136"/>
        </w:tabs>
        <w:ind w:left="398"/>
        <w:rPr>
          <w:rFonts w:ascii="Times New Roman" w:eastAsia="Times New Roman"/>
        </w:rPr>
        <w:sectPr>
          <w:type w:val="continuous"/>
          <w:pgSz w:w="11910" w:h="16840"/>
          <w:pgMar w:top="1580" w:right="1340" w:bottom="280" w:left="1020" w:header="720" w:footer="720" w:gutter="0"/>
          <w:pgNumType w:fmt="decimal"/>
          <w:cols w:space="720" w:num="1"/>
        </w:sectPr>
      </w:pPr>
      <w:r>
        <w:t>法定</w:t>
      </w:r>
      <w:r>
        <w:rPr>
          <w:spacing w:val="-3"/>
        </w:rPr>
        <w:t>代</w:t>
      </w:r>
      <w:r>
        <w:t>表</w:t>
      </w:r>
      <w:r>
        <w:rPr>
          <w:spacing w:val="-3"/>
        </w:rPr>
        <w:t>人</w:t>
      </w:r>
      <w:r>
        <w:t>或</w:t>
      </w:r>
      <w:r>
        <w:rPr>
          <w:spacing w:val="-3"/>
        </w:rPr>
        <w:t>投</w:t>
      </w:r>
      <w:r>
        <w:t>标</w:t>
      </w:r>
      <w:r>
        <w:rPr>
          <w:spacing w:val="-3"/>
        </w:rPr>
        <w:t>人</w:t>
      </w:r>
      <w:r>
        <w:t>授</w:t>
      </w:r>
      <w:r>
        <w:rPr>
          <w:spacing w:val="-3"/>
        </w:rPr>
        <w:t>权</w:t>
      </w:r>
      <w:r>
        <w:t>代表</w:t>
      </w:r>
      <w:r>
        <w:rPr>
          <w:spacing w:val="-3"/>
        </w:rPr>
        <w:t>（</w:t>
      </w:r>
      <w:r>
        <w:t>签</w:t>
      </w:r>
      <w:r>
        <w:rPr>
          <w:spacing w:val="-3"/>
        </w:rPr>
        <w:t>名</w:t>
      </w:r>
      <w:r>
        <w:t>或</w:t>
      </w:r>
      <w:r>
        <w:rPr>
          <w:spacing w:val="-3"/>
        </w:rPr>
        <w:t>盖</w:t>
      </w:r>
      <w:r>
        <w:t>章</w:t>
      </w:r>
      <w:r>
        <w:rPr>
          <w:spacing w:val="-3"/>
        </w:rPr>
        <w:t>）：</w:t>
      </w:r>
      <w:r>
        <w:rPr>
          <w:spacing w:val="-3"/>
          <w:u w:val="single"/>
        </w:rPr>
        <w:t xml:space="preserve"> </w:t>
      </w:r>
      <w:r>
        <w:rPr>
          <w:spacing w:val="-3"/>
          <w:u w:val="single"/>
        </w:rPr>
        <w:tab/>
      </w:r>
      <w:r>
        <w:rPr>
          <w:spacing w:val="7"/>
        </w:rPr>
        <w:t>职务：</w:t>
      </w:r>
      <w:r>
        <w:rPr>
          <w:spacing w:val="7"/>
          <w:u w:val="single"/>
        </w:rPr>
        <w:t xml:space="preserve"> </w:t>
      </w:r>
      <w:r>
        <w:rPr>
          <w:spacing w:val="7"/>
          <w:u w:val="single"/>
        </w:rPr>
        <w:tab/>
      </w:r>
      <w:r>
        <w:rPr>
          <w:spacing w:val="7"/>
        </w:rPr>
        <w:t>日期：</w:t>
      </w:r>
    </w:p>
    <w:p w14:paraId="09DDF407"/>
    <w:sectPr>
      <w:pgSz w:w="11910" w:h="16840"/>
      <w:pgMar w:top="1360" w:right="1340" w:bottom="1420" w:left="1020" w:header="567" w:footer="1216" w:gutter="0"/>
      <w:pgNumType w:fmt="decimal"/>
      <w:cols w:equalWidth="0" w:num="2">
        <w:col w:w="1852" w:space="6856"/>
        <w:col w:w="84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A13A0">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7032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57032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A8508">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D47A15">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0D47A15">
                    <w:pPr>
                      <w:pStyle w:val="6"/>
                    </w:pPr>
                    <w:r>
                      <w:fldChar w:fldCharType="begin"/>
                    </w:r>
                    <w:r>
                      <w:instrText xml:space="preserve"> PAGE  \* MERGEFORMAT </w:instrText>
                    </w:r>
                    <w:r>
                      <w:fldChar w:fldCharType="separate"/>
                    </w:r>
                    <w:r>
                      <w:t>2</w:t>
                    </w:r>
                    <w:r>
                      <w:fldChar w:fldCharType="end"/>
                    </w:r>
                  </w:p>
                </w:txbxContent>
              </v:textbox>
            </v:shape>
          </w:pict>
        </mc:Fallback>
      </mc:AlternateContent>
    </w:r>
  </w:p>
  <w:p w14:paraId="1EAF0065">
    <w:pPr>
      <w:pStyle w:val="5"/>
      <w:spacing w:line="14" w:lineRule="auto"/>
      <w:rPr>
        <w:sz w:val="19"/>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5A251">
    <w:pPr>
      <w:pStyle w:val="5"/>
      <w:spacing w:line="360" w:lineRule="auto"/>
      <w:jc w:val="right"/>
      <w:rPr>
        <w:color w:val="7F7F7F"/>
        <w:sz w:val="20"/>
      </w:rPr>
    </w:pPr>
    <w:r>
      <w:rPr>
        <w:rFonts w:hint="eastAsia"/>
      </w:rPr>
      <w:t>2024年广州医科大学附属妇女儿童医疗中心官网升级改版项目</w:t>
    </w:r>
    <w:r>
      <w:rPr>
        <w:color w:val="7F7F7F"/>
        <w:lang w:val="en-US" w:bidi="ar-SA"/>
      </w:rPr>
      <mc:AlternateContent>
        <mc:Choice Requires="wps">
          <w:drawing>
            <wp:anchor distT="0" distB="0" distL="114300" distR="114300" simplePos="0" relativeHeight="251660288" behindDoc="1" locked="0" layoutInCell="1" allowOverlap="1">
              <wp:simplePos x="0" y="0"/>
              <wp:positionH relativeFrom="page">
                <wp:posOffset>996950</wp:posOffset>
              </wp:positionH>
              <wp:positionV relativeFrom="page">
                <wp:posOffset>597535</wp:posOffset>
              </wp:positionV>
              <wp:extent cx="5554345" cy="0"/>
              <wp:effectExtent l="0" t="4445" r="0" b="5080"/>
              <wp:wrapNone/>
              <wp:docPr id="29" name="直接连接符 29"/>
              <wp:cNvGraphicFramePr/>
              <a:graphic xmlns:a="http://schemas.openxmlformats.org/drawingml/2006/main">
                <a:graphicData uri="http://schemas.microsoft.com/office/word/2010/wordprocessingShape">
                  <wps:wsp>
                    <wps:cNvCnPr/>
                    <wps:spPr>
                      <a:xfrm>
                        <a:off x="0" y="0"/>
                        <a:ext cx="5554345"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8.5pt;margin-top:47.05pt;height:0pt;width:437.35pt;mso-position-horizontal-relative:page;mso-position-vertical-relative:page;z-index:-251656192;mso-width-relative:page;mso-height-relative:page;" filled="f" stroked="t" coordsize="21600,21600" o:gfxdata="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UhB5P1gAAAAoBAAAPAAAAAAAAAAEAIAAAACIAAABkcnMvZG93bnJldi54bWxQSwECFAAU&#10;AAAACACHTuJAvM8L8PMBAADoAwAADgAAAAAAAAABACAAAAAlAQAAZHJzL2Uyb0RvYy54bWxQSwUG&#10;AAAAAAYABgBZAQAAigUAAAAA&#10;">
              <v:fill on="f" focussize="0,0"/>
              <v:stroke weight="0.72pt" color="#000000" joinstyle="round"/>
              <v:imagedata o:title=""/>
              <o:lock v:ext="edit" aspectratio="f"/>
            </v:line>
          </w:pict>
        </mc:Fallback>
      </mc:AlternateContent>
    </w:r>
    <w:r>
      <w:rPr>
        <w:color w:val="7F7F7F"/>
        <w:lang w:val="en-US" w:bidi="ar-SA"/>
      </w:rPr>
      <mc:AlternateContent>
        <mc:Choice Requires="wps">
          <w:drawing>
            <wp:anchor distT="0" distB="0" distL="114300" distR="114300" simplePos="0" relativeHeight="251661312" behindDoc="1" locked="0" layoutInCell="1" allowOverlap="1">
              <wp:simplePos x="0" y="0"/>
              <wp:positionH relativeFrom="page">
                <wp:posOffset>3075940</wp:posOffset>
              </wp:positionH>
              <wp:positionV relativeFrom="page">
                <wp:posOffset>125095</wp:posOffset>
              </wp:positionV>
              <wp:extent cx="3528695" cy="17399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3528695" cy="173990"/>
                      </a:xfrm>
                      <a:prstGeom prst="rect">
                        <a:avLst/>
                      </a:prstGeom>
                      <a:noFill/>
                      <a:ln>
                        <a:noFill/>
                      </a:ln>
                      <a:effectLst/>
                    </wps:spPr>
                    <wps:txbx>
                      <w:txbxContent>
                        <w:p w14:paraId="16F81B48">
                          <w:pPr>
                            <w:pStyle w:val="5"/>
                            <w:spacing w:line="267" w:lineRule="exact"/>
                            <w:ind w:left="20"/>
                            <w:rPr>
                              <w:shd w:val="clear" w:color="auto" w:fill="DFDFDF"/>
                            </w:rPr>
                          </w:pPr>
                        </w:p>
                        <w:p w14:paraId="6ACF609B">
                          <w:pPr>
                            <w:pStyle w:val="5"/>
                            <w:spacing w:line="267" w:lineRule="exact"/>
                            <w:ind w:left="20"/>
                            <w:rPr>
                              <w:shd w:val="clear" w:color="auto" w:fill="DFDFDF"/>
                            </w:rPr>
                          </w:pPr>
                          <w:r>
                            <w:rPr>
                              <w:rFonts w:hint="eastAsia"/>
                              <w:shd w:val="clear" w:color="auto" w:fill="DFDFDF"/>
                            </w:rPr>
                            <w:t>2022年广州市妇女儿童医疗中心增城院区开业宣传项目</w:t>
                          </w:r>
                        </w:p>
                        <w:p w14:paraId="0D4AF1EE">
                          <w:pPr>
                            <w:pStyle w:val="5"/>
                            <w:spacing w:line="267" w:lineRule="exact"/>
                            <w:ind w:left="20"/>
                          </w:pPr>
                          <w:r>
                            <w:rPr>
                              <w:rFonts w:hint="eastAsia"/>
                              <w:shd w:val="clear" w:color="auto" w:fill="DFDFDF"/>
                            </w:rPr>
                            <w:t>2022年广州市妇女儿童医疗中心增城院区开业宣传项目</w:t>
                          </w:r>
                          <w:r>
                            <w:rPr>
                              <w:shd w:val="clear" w:color="auto" w:fill="DFDFDF"/>
                            </w:rPr>
                            <w:t>广项目招标文件</w:t>
                          </w:r>
                        </w:p>
                      </w:txbxContent>
                    </wps:txbx>
                    <wps:bodyPr lIns="0" tIns="0" rIns="0" bIns="0" upright="1"/>
                  </wps:wsp>
                </a:graphicData>
              </a:graphic>
            </wp:anchor>
          </w:drawing>
        </mc:Choice>
        <mc:Fallback>
          <w:pict>
            <v:shape id="_x0000_s1026" o:spid="_x0000_s1026" o:spt="202" type="#_x0000_t202" style="position:absolute;left:0pt;margin-left:242.2pt;margin-top:9.85pt;height:13.7pt;width:277.85pt;mso-position-horizontal-relative:page;mso-position-vertical-relative:page;z-index:-251655168;mso-width-relative:page;mso-height-relative:page;" filled="f" stroked="f" coordsize="21600,21600" o:gfxdata="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6Em7vdgAAAAKAQAADwAAAAAAAAABACAAAAAiAAAAZHJzL2Rvd25yZXYu&#10;eG1sUEsBAhQAFAAAAAgAh07iQCjWwkHCAQAAggMAAA4AAAAAAAAAAQAgAAAAJwEAAGRycy9lMm9E&#10;b2MueG1sUEsFBgAAAAAGAAYAWQEAAFsFAAAAAA==&#10;">
              <v:fill on="f" focussize="0,0"/>
              <v:stroke on="f"/>
              <v:imagedata o:title=""/>
              <o:lock v:ext="edit" aspectratio="f"/>
              <v:textbox inset="0mm,0mm,0mm,0mm">
                <w:txbxContent>
                  <w:p w14:paraId="16F81B48">
                    <w:pPr>
                      <w:pStyle w:val="5"/>
                      <w:spacing w:line="267" w:lineRule="exact"/>
                      <w:ind w:left="20"/>
                      <w:rPr>
                        <w:shd w:val="clear" w:color="auto" w:fill="DFDFDF"/>
                      </w:rPr>
                    </w:pPr>
                  </w:p>
                  <w:p w14:paraId="6ACF609B">
                    <w:pPr>
                      <w:pStyle w:val="5"/>
                      <w:spacing w:line="267" w:lineRule="exact"/>
                      <w:ind w:left="20"/>
                      <w:rPr>
                        <w:shd w:val="clear" w:color="auto" w:fill="DFDFDF"/>
                      </w:rPr>
                    </w:pPr>
                    <w:r>
                      <w:rPr>
                        <w:rFonts w:hint="eastAsia"/>
                        <w:shd w:val="clear" w:color="auto" w:fill="DFDFDF"/>
                      </w:rPr>
                      <w:t>2022年广州市妇女儿童医疗中心增城院区开业宣传项目</w:t>
                    </w:r>
                  </w:p>
                  <w:p w14:paraId="0D4AF1EE">
                    <w:pPr>
                      <w:pStyle w:val="5"/>
                      <w:spacing w:line="267" w:lineRule="exact"/>
                      <w:ind w:left="20"/>
                    </w:pPr>
                    <w:r>
                      <w:rPr>
                        <w:rFonts w:hint="eastAsia"/>
                        <w:shd w:val="clear" w:color="auto" w:fill="DFDFDF"/>
                      </w:rPr>
                      <w:t>2022年广州市妇女儿童医疗中心增城院区开业宣传项目</w:t>
                    </w:r>
                    <w:r>
                      <w:rPr>
                        <w:shd w:val="clear" w:color="auto" w:fill="DFDFDF"/>
                      </w:rPr>
                      <w:t>广项目招标文件</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82E33">
    <w:pPr>
      <w:pStyle w:val="5"/>
      <w:spacing w:line="360" w:lineRule="auto"/>
      <w:jc w:val="right"/>
      <w:rPr>
        <w:color w:val="7F7F7F"/>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FADE"/>
    <w:multiLevelType w:val="multilevel"/>
    <w:tmpl w:val="8461FADE"/>
    <w:lvl w:ilvl="0" w:tentative="0">
      <w:start w:val="1"/>
      <w:numFmt w:val="decimal"/>
      <w:lvlText w:val="%1."/>
      <w:lvlJc w:val="left"/>
      <w:pPr>
        <w:ind w:left="758" w:hanging="360"/>
      </w:pPr>
      <w:rPr>
        <w:rFonts w:hint="default" w:ascii="宋体" w:hAnsi="宋体" w:eastAsia="宋体" w:cs="宋体"/>
        <w:b/>
        <w:bCs/>
        <w:w w:val="99"/>
        <w:sz w:val="21"/>
        <w:szCs w:val="21"/>
        <w:lang w:val="zh-CN" w:eastAsia="zh-CN" w:bidi="zh-CN"/>
      </w:rPr>
    </w:lvl>
    <w:lvl w:ilvl="1" w:tentative="0">
      <w:start w:val="0"/>
      <w:numFmt w:val="bullet"/>
      <w:lvlText w:val="•"/>
      <w:lvlJc w:val="left"/>
      <w:pPr>
        <w:ind w:left="1638" w:hanging="360"/>
      </w:pPr>
      <w:rPr>
        <w:rFonts w:hint="default"/>
        <w:lang w:val="zh-CN" w:eastAsia="zh-CN" w:bidi="zh-CN"/>
      </w:rPr>
    </w:lvl>
    <w:lvl w:ilvl="2" w:tentative="0">
      <w:start w:val="0"/>
      <w:numFmt w:val="bullet"/>
      <w:lvlText w:val="•"/>
      <w:lvlJc w:val="left"/>
      <w:pPr>
        <w:ind w:left="2517" w:hanging="360"/>
      </w:pPr>
      <w:rPr>
        <w:rFonts w:hint="default"/>
        <w:lang w:val="zh-CN" w:eastAsia="zh-CN" w:bidi="zh-CN"/>
      </w:rPr>
    </w:lvl>
    <w:lvl w:ilvl="3" w:tentative="0">
      <w:start w:val="0"/>
      <w:numFmt w:val="bullet"/>
      <w:lvlText w:val="•"/>
      <w:lvlJc w:val="left"/>
      <w:pPr>
        <w:ind w:left="3395" w:hanging="360"/>
      </w:pPr>
      <w:rPr>
        <w:rFonts w:hint="default"/>
        <w:lang w:val="zh-CN" w:eastAsia="zh-CN" w:bidi="zh-CN"/>
      </w:rPr>
    </w:lvl>
    <w:lvl w:ilvl="4" w:tentative="0">
      <w:start w:val="0"/>
      <w:numFmt w:val="bullet"/>
      <w:lvlText w:val="•"/>
      <w:lvlJc w:val="left"/>
      <w:pPr>
        <w:ind w:left="4274" w:hanging="360"/>
      </w:pPr>
      <w:rPr>
        <w:rFonts w:hint="default"/>
        <w:lang w:val="zh-CN" w:eastAsia="zh-CN" w:bidi="zh-CN"/>
      </w:rPr>
    </w:lvl>
    <w:lvl w:ilvl="5" w:tentative="0">
      <w:start w:val="0"/>
      <w:numFmt w:val="bullet"/>
      <w:lvlText w:val="•"/>
      <w:lvlJc w:val="left"/>
      <w:pPr>
        <w:ind w:left="5153" w:hanging="360"/>
      </w:pPr>
      <w:rPr>
        <w:rFonts w:hint="default"/>
        <w:lang w:val="zh-CN" w:eastAsia="zh-CN" w:bidi="zh-CN"/>
      </w:rPr>
    </w:lvl>
    <w:lvl w:ilvl="6" w:tentative="0">
      <w:start w:val="0"/>
      <w:numFmt w:val="bullet"/>
      <w:lvlText w:val="•"/>
      <w:lvlJc w:val="left"/>
      <w:pPr>
        <w:ind w:left="6031" w:hanging="360"/>
      </w:pPr>
      <w:rPr>
        <w:rFonts w:hint="default"/>
        <w:lang w:val="zh-CN" w:eastAsia="zh-CN" w:bidi="zh-CN"/>
      </w:rPr>
    </w:lvl>
    <w:lvl w:ilvl="7" w:tentative="0">
      <w:start w:val="0"/>
      <w:numFmt w:val="bullet"/>
      <w:lvlText w:val="•"/>
      <w:lvlJc w:val="left"/>
      <w:pPr>
        <w:ind w:left="6910" w:hanging="360"/>
      </w:pPr>
      <w:rPr>
        <w:rFonts w:hint="default"/>
        <w:lang w:val="zh-CN" w:eastAsia="zh-CN" w:bidi="zh-CN"/>
      </w:rPr>
    </w:lvl>
    <w:lvl w:ilvl="8" w:tentative="0">
      <w:start w:val="0"/>
      <w:numFmt w:val="bullet"/>
      <w:lvlText w:val="•"/>
      <w:lvlJc w:val="left"/>
      <w:pPr>
        <w:ind w:left="7789" w:hanging="360"/>
      </w:pPr>
      <w:rPr>
        <w:rFonts w:hint="default"/>
        <w:lang w:val="zh-CN" w:eastAsia="zh-CN" w:bidi="zh-CN"/>
      </w:rPr>
    </w:lvl>
  </w:abstractNum>
  <w:abstractNum w:abstractNumId="1">
    <w:nsid w:val="9288B902"/>
    <w:multiLevelType w:val="multilevel"/>
    <w:tmpl w:val="9288B902"/>
    <w:lvl w:ilvl="0" w:tentative="0">
      <w:start w:val="6"/>
      <w:numFmt w:val="decimal"/>
      <w:lvlText w:val="%1"/>
      <w:lvlJc w:val="left"/>
      <w:pPr>
        <w:ind w:left="1106" w:hanging="567"/>
      </w:pPr>
      <w:rPr>
        <w:rFonts w:hint="default"/>
        <w:lang w:val="zh-CN" w:eastAsia="zh-CN" w:bidi="zh-CN"/>
      </w:rPr>
    </w:lvl>
    <w:lvl w:ilvl="1" w:tentative="0">
      <w:start w:val="1"/>
      <w:numFmt w:val="decimal"/>
      <w:lvlText w:val="%1.%2."/>
      <w:lvlJc w:val="left"/>
      <w:pPr>
        <w:ind w:left="1106"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789" w:hanging="567"/>
      </w:pPr>
      <w:rPr>
        <w:rFonts w:hint="default"/>
        <w:lang w:val="zh-CN" w:eastAsia="zh-CN" w:bidi="zh-CN"/>
      </w:rPr>
    </w:lvl>
    <w:lvl w:ilvl="3" w:tentative="0">
      <w:start w:val="0"/>
      <w:numFmt w:val="bullet"/>
      <w:lvlText w:val="•"/>
      <w:lvlJc w:val="left"/>
      <w:pPr>
        <w:ind w:left="3633" w:hanging="567"/>
      </w:pPr>
      <w:rPr>
        <w:rFonts w:hint="default"/>
        <w:lang w:val="zh-CN" w:eastAsia="zh-CN" w:bidi="zh-CN"/>
      </w:rPr>
    </w:lvl>
    <w:lvl w:ilvl="4" w:tentative="0">
      <w:start w:val="0"/>
      <w:numFmt w:val="bullet"/>
      <w:lvlText w:val="•"/>
      <w:lvlJc w:val="left"/>
      <w:pPr>
        <w:ind w:left="4478" w:hanging="567"/>
      </w:pPr>
      <w:rPr>
        <w:rFonts w:hint="default"/>
        <w:lang w:val="zh-CN" w:eastAsia="zh-CN" w:bidi="zh-CN"/>
      </w:rPr>
    </w:lvl>
    <w:lvl w:ilvl="5" w:tentative="0">
      <w:start w:val="0"/>
      <w:numFmt w:val="bullet"/>
      <w:lvlText w:val="•"/>
      <w:lvlJc w:val="left"/>
      <w:pPr>
        <w:ind w:left="5323" w:hanging="567"/>
      </w:pPr>
      <w:rPr>
        <w:rFonts w:hint="default"/>
        <w:lang w:val="zh-CN" w:eastAsia="zh-CN" w:bidi="zh-CN"/>
      </w:rPr>
    </w:lvl>
    <w:lvl w:ilvl="6" w:tentative="0">
      <w:start w:val="0"/>
      <w:numFmt w:val="bullet"/>
      <w:lvlText w:val="•"/>
      <w:lvlJc w:val="left"/>
      <w:pPr>
        <w:ind w:left="6167" w:hanging="567"/>
      </w:pPr>
      <w:rPr>
        <w:rFonts w:hint="default"/>
        <w:lang w:val="zh-CN" w:eastAsia="zh-CN" w:bidi="zh-CN"/>
      </w:rPr>
    </w:lvl>
    <w:lvl w:ilvl="7" w:tentative="0">
      <w:start w:val="0"/>
      <w:numFmt w:val="bullet"/>
      <w:lvlText w:val="•"/>
      <w:lvlJc w:val="left"/>
      <w:pPr>
        <w:ind w:left="7012" w:hanging="567"/>
      </w:pPr>
      <w:rPr>
        <w:rFonts w:hint="default"/>
        <w:lang w:val="zh-CN" w:eastAsia="zh-CN" w:bidi="zh-CN"/>
      </w:rPr>
    </w:lvl>
    <w:lvl w:ilvl="8" w:tentative="0">
      <w:start w:val="0"/>
      <w:numFmt w:val="bullet"/>
      <w:lvlText w:val="•"/>
      <w:lvlJc w:val="left"/>
      <w:pPr>
        <w:ind w:left="7857" w:hanging="567"/>
      </w:pPr>
      <w:rPr>
        <w:rFonts w:hint="default"/>
        <w:lang w:val="zh-CN" w:eastAsia="zh-CN" w:bidi="zh-CN"/>
      </w:rPr>
    </w:lvl>
  </w:abstractNum>
  <w:abstractNum w:abstractNumId="2">
    <w:nsid w:val="AC9BB5F4"/>
    <w:multiLevelType w:val="multilevel"/>
    <w:tmpl w:val="AC9BB5F4"/>
    <w:lvl w:ilvl="0" w:tentative="0">
      <w:start w:val="1"/>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BE923771"/>
    <w:multiLevelType w:val="multilevel"/>
    <w:tmpl w:val="BE923771"/>
    <w:lvl w:ilvl="0" w:tentative="0">
      <w:start w:val="3"/>
      <w:numFmt w:val="decimal"/>
      <w:lvlText w:val="%1"/>
      <w:lvlJc w:val="left"/>
      <w:pPr>
        <w:ind w:left="1106" w:hanging="567"/>
      </w:pPr>
      <w:rPr>
        <w:rFonts w:hint="default"/>
        <w:lang w:val="zh-CN" w:eastAsia="zh-CN" w:bidi="zh-CN"/>
      </w:rPr>
    </w:lvl>
    <w:lvl w:ilvl="1" w:tentative="0">
      <w:start w:val="1"/>
      <w:numFmt w:val="decimal"/>
      <w:lvlText w:val="%1.%2."/>
      <w:lvlJc w:val="left"/>
      <w:pPr>
        <w:ind w:left="1106"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789" w:hanging="567"/>
      </w:pPr>
      <w:rPr>
        <w:rFonts w:hint="default"/>
        <w:lang w:val="zh-CN" w:eastAsia="zh-CN" w:bidi="zh-CN"/>
      </w:rPr>
    </w:lvl>
    <w:lvl w:ilvl="3" w:tentative="0">
      <w:start w:val="0"/>
      <w:numFmt w:val="bullet"/>
      <w:lvlText w:val="•"/>
      <w:lvlJc w:val="left"/>
      <w:pPr>
        <w:ind w:left="3633" w:hanging="567"/>
      </w:pPr>
      <w:rPr>
        <w:rFonts w:hint="default"/>
        <w:lang w:val="zh-CN" w:eastAsia="zh-CN" w:bidi="zh-CN"/>
      </w:rPr>
    </w:lvl>
    <w:lvl w:ilvl="4" w:tentative="0">
      <w:start w:val="0"/>
      <w:numFmt w:val="bullet"/>
      <w:lvlText w:val="•"/>
      <w:lvlJc w:val="left"/>
      <w:pPr>
        <w:ind w:left="4478" w:hanging="567"/>
      </w:pPr>
      <w:rPr>
        <w:rFonts w:hint="default"/>
        <w:lang w:val="zh-CN" w:eastAsia="zh-CN" w:bidi="zh-CN"/>
      </w:rPr>
    </w:lvl>
    <w:lvl w:ilvl="5" w:tentative="0">
      <w:start w:val="0"/>
      <w:numFmt w:val="bullet"/>
      <w:lvlText w:val="•"/>
      <w:lvlJc w:val="left"/>
      <w:pPr>
        <w:ind w:left="5323" w:hanging="567"/>
      </w:pPr>
      <w:rPr>
        <w:rFonts w:hint="default"/>
        <w:lang w:val="zh-CN" w:eastAsia="zh-CN" w:bidi="zh-CN"/>
      </w:rPr>
    </w:lvl>
    <w:lvl w:ilvl="6" w:tentative="0">
      <w:start w:val="0"/>
      <w:numFmt w:val="bullet"/>
      <w:lvlText w:val="•"/>
      <w:lvlJc w:val="left"/>
      <w:pPr>
        <w:ind w:left="6167" w:hanging="567"/>
      </w:pPr>
      <w:rPr>
        <w:rFonts w:hint="default"/>
        <w:lang w:val="zh-CN" w:eastAsia="zh-CN" w:bidi="zh-CN"/>
      </w:rPr>
    </w:lvl>
    <w:lvl w:ilvl="7" w:tentative="0">
      <w:start w:val="0"/>
      <w:numFmt w:val="bullet"/>
      <w:lvlText w:val="•"/>
      <w:lvlJc w:val="left"/>
      <w:pPr>
        <w:ind w:left="7012" w:hanging="567"/>
      </w:pPr>
      <w:rPr>
        <w:rFonts w:hint="default"/>
        <w:lang w:val="zh-CN" w:eastAsia="zh-CN" w:bidi="zh-CN"/>
      </w:rPr>
    </w:lvl>
    <w:lvl w:ilvl="8" w:tentative="0">
      <w:start w:val="0"/>
      <w:numFmt w:val="bullet"/>
      <w:lvlText w:val="•"/>
      <w:lvlJc w:val="left"/>
      <w:pPr>
        <w:ind w:left="7857" w:hanging="567"/>
      </w:pPr>
      <w:rPr>
        <w:rFonts w:hint="default"/>
        <w:lang w:val="zh-CN" w:eastAsia="zh-CN" w:bidi="zh-CN"/>
      </w:rPr>
    </w:lvl>
  </w:abstractNum>
  <w:abstractNum w:abstractNumId="4">
    <w:nsid w:val="D73ED491"/>
    <w:multiLevelType w:val="singleLevel"/>
    <w:tmpl w:val="D73ED491"/>
    <w:lvl w:ilvl="0" w:tentative="0">
      <w:start w:val="1"/>
      <w:numFmt w:val="decimal"/>
      <w:suff w:val="space"/>
      <w:lvlText w:val="%1."/>
      <w:lvlJc w:val="left"/>
    </w:lvl>
  </w:abstractNum>
  <w:abstractNum w:abstractNumId="5">
    <w:nsid w:val="EBD92F97"/>
    <w:multiLevelType w:val="singleLevel"/>
    <w:tmpl w:val="EBD92F97"/>
    <w:lvl w:ilvl="0" w:tentative="0">
      <w:start w:val="3"/>
      <w:numFmt w:val="decimal"/>
      <w:suff w:val="nothing"/>
      <w:lvlText w:val="%1、"/>
      <w:lvlJc w:val="left"/>
    </w:lvl>
  </w:abstractNum>
  <w:abstractNum w:abstractNumId="6">
    <w:nsid w:val="096E7C09"/>
    <w:multiLevelType w:val="multilevel"/>
    <w:tmpl w:val="096E7C09"/>
    <w:lvl w:ilvl="0" w:tentative="0">
      <w:start w:val="1"/>
      <w:numFmt w:val="bullet"/>
      <w:lvlText w:val=""/>
      <w:lvlJc w:val="left"/>
      <w:pPr>
        <w:ind w:left="860" w:hanging="440"/>
      </w:pPr>
      <w:rPr>
        <w:rFonts w:hint="default" w:ascii="Wingdings" w:hAnsi="Wingdings"/>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7">
    <w:nsid w:val="0E640482"/>
    <w:multiLevelType w:val="multilevel"/>
    <w:tmpl w:val="0E640482"/>
    <w:lvl w:ilvl="0" w:tentative="0">
      <w:start w:val="1"/>
      <w:numFmt w:val="decimal"/>
      <w:lvlText w:val="%1."/>
      <w:lvlJc w:val="left"/>
      <w:pPr>
        <w:ind w:left="818" w:hanging="420"/>
      </w:pPr>
      <w:rPr>
        <w:rFonts w:hint="default" w:ascii="宋体" w:hAnsi="宋体" w:eastAsia="宋体" w:cs="宋体"/>
        <w:w w:val="100"/>
        <w:sz w:val="21"/>
        <w:szCs w:val="21"/>
        <w:lang w:val="zh-CN" w:eastAsia="zh-CN" w:bidi="zh-CN"/>
      </w:rPr>
    </w:lvl>
    <w:lvl w:ilvl="1" w:tentative="0">
      <w:start w:val="1"/>
      <w:numFmt w:val="decimal"/>
      <w:lvlText w:val="%2."/>
      <w:lvlJc w:val="left"/>
      <w:pPr>
        <w:ind w:left="1106" w:hanging="425"/>
      </w:pPr>
      <w:rPr>
        <w:rFonts w:hint="default" w:ascii="宋体" w:hAnsi="宋体" w:eastAsia="宋体" w:cs="宋体"/>
        <w:w w:val="100"/>
        <w:sz w:val="21"/>
        <w:szCs w:val="21"/>
        <w:lang w:val="zh-CN" w:eastAsia="zh-CN" w:bidi="zh-CN"/>
      </w:rPr>
    </w:lvl>
    <w:lvl w:ilvl="2" w:tentative="0">
      <w:start w:val="0"/>
      <w:numFmt w:val="bullet"/>
      <w:lvlText w:val="•"/>
      <w:lvlJc w:val="left"/>
      <w:pPr>
        <w:ind w:left="2038" w:hanging="425"/>
      </w:pPr>
      <w:rPr>
        <w:rFonts w:hint="default"/>
        <w:lang w:val="zh-CN" w:eastAsia="zh-CN" w:bidi="zh-CN"/>
      </w:rPr>
    </w:lvl>
    <w:lvl w:ilvl="3" w:tentative="0">
      <w:start w:val="0"/>
      <w:numFmt w:val="bullet"/>
      <w:lvlText w:val="•"/>
      <w:lvlJc w:val="left"/>
      <w:pPr>
        <w:ind w:left="2976" w:hanging="425"/>
      </w:pPr>
      <w:rPr>
        <w:rFonts w:hint="default"/>
        <w:lang w:val="zh-CN" w:eastAsia="zh-CN" w:bidi="zh-CN"/>
      </w:rPr>
    </w:lvl>
    <w:lvl w:ilvl="4" w:tentative="0">
      <w:start w:val="0"/>
      <w:numFmt w:val="bullet"/>
      <w:lvlText w:val="•"/>
      <w:lvlJc w:val="left"/>
      <w:pPr>
        <w:ind w:left="3915" w:hanging="425"/>
      </w:pPr>
      <w:rPr>
        <w:rFonts w:hint="default"/>
        <w:lang w:val="zh-CN" w:eastAsia="zh-CN" w:bidi="zh-CN"/>
      </w:rPr>
    </w:lvl>
    <w:lvl w:ilvl="5" w:tentative="0">
      <w:start w:val="0"/>
      <w:numFmt w:val="bullet"/>
      <w:lvlText w:val="•"/>
      <w:lvlJc w:val="left"/>
      <w:pPr>
        <w:ind w:left="4853" w:hanging="425"/>
      </w:pPr>
      <w:rPr>
        <w:rFonts w:hint="default"/>
        <w:lang w:val="zh-CN" w:eastAsia="zh-CN" w:bidi="zh-CN"/>
      </w:rPr>
    </w:lvl>
    <w:lvl w:ilvl="6" w:tentative="0">
      <w:start w:val="0"/>
      <w:numFmt w:val="bullet"/>
      <w:lvlText w:val="•"/>
      <w:lvlJc w:val="left"/>
      <w:pPr>
        <w:ind w:left="5792" w:hanging="425"/>
      </w:pPr>
      <w:rPr>
        <w:rFonts w:hint="default"/>
        <w:lang w:val="zh-CN" w:eastAsia="zh-CN" w:bidi="zh-CN"/>
      </w:rPr>
    </w:lvl>
    <w:lvl w:ilvl="7" w:tentative="0">
      <w:start w:val="0"/>
      <w:numFmt w:val="bullet"/>
      <w:lvlText w:val="•"/>
      <w:lvlJc w:val="left"/>
      <w:pPr>
        <w:ind w:left="6730" w:hanging="425"/>
      </w:pPr>
      <w:rPr>
        <w:rFonts w:hint="default"/>
        <w:lang w:val="zh-CN" w:eastAsia="zh-CN" w:bidi="zh-CN"/>
      </w:rPr>
    </w:lvl>
    <w:lvl w:ilvl="8" w:tentative="0">
      <w:start w:val="0"/>
      <w:numFmt w:val="bullet"/>
      <w:lvlText w:val="•"/>
      <w:lvlJc w:val="left"/>
      <w:pPr>
        <w:ind w:left="7669" w:hanging="425"/>
      </w:pPr>
      <w:rPr>
        <w:rFonts w:hint="default"/>
        <w:lang w:val="zh-CN" w:eastAsia="zh-CN" w:bidi="zh-CN"/>
      </w:rPr>
    </w:lvl>
  </w:abstractNum>
  <w:abstractNum w:abstractNumId="8">
    <w:nsid w:val="14349E9B"/>
    <w:multiLevelType w:val="singleLevel"/>
    <w:tmpl w:val="14349E9B"/>
    <w:lvl w:ilvl="0" w:tentative="0">
      <w:start w:val="1"/>
      <w:numFmt w:val="decimal"/>
      <w:lvlText w:val="%1)"/>
      <w:lvlJc w:val="left"/>
      <w:pPr>
        <w:ind w:left="425" w:hanging="425"/>
      </w:pPr>
      <w:rPr>
        <w:rFonts w:hint="default"/>
      </w:rPr>
    </w:lvl>
  </w:abstractNum>
  <w:abstractNum w:abstractNumId="9">
    <w:nsid w:val="2325ABE3"/>
    <w:multiLevelType w:val="singleLevel"/>
    <w:tmpl w:val="2325ABE3"/>
    <w:lvl w:ilvl="0" w:tentative="0">
      <w:start w:val="1"/>
      <w:numFmt w:val="decimal"/>
      <w:suff w:val="space"/>
      <w:lvlText w:val="%1."/>
      <w:lvlJc w:val="left"/>
    </w:lvl>
  </w:abstractNum>
  <w:abstractNum w:abstractNumId="10">
    <w:nsid w:val="3F5499C1"/>
    <w:multiLevelType w:val="singleLevel"/>
    <w:tmpl w:val="3F5499C1"/>
    <w:lvl w:ilvl="0" w:tentative="0">
      <w:start w:val="1"/>
      <w:numFmt w:val="decimal"/>
      <w:suff w:val="nothing"/>
      <w:lvlText w:val="%1、"/>
      <w:lvlJc w:val="left"/>
    </w:lvl>
  </w:abstractNum>
  <w:abstractNum w:abstractNumId="11">
    <w:nsid w:val="4C1BAE26"/>
    <w:multiLevelType w:val="multilevel"/>
    <w:tmpl w:val="4C1BAE26"/>
    <w:lvl w:ilvl="0" w:tentative="0">
      <w:start w:val="1"/>
      <w:numFmt w:val="decimal"/>
      <w:lvlText w:val="%1."/>
      <w:lvlJc w:val="left"/>
      <w:pPr>
        <w:ind w:left="818" w:hanging="420"/>
      </w:pPr>
      <w:rPr>
        <w:rFonts w:hint="default"/>
        <w:b/>
        <w:bCs/>
        <w:w w:val="99"/>
        <w:lang w:val="zh-CN" w:eastAsia="zh-CN" w:bidi="zh-CN"/>
      </w:rPr>
    </w:lvl>
    <w:lvl w:ilvl="1" w:tentative="0">
      <w:start w:val="0"/>
      <w:numFmt w:val="bullet"/>
      <w:lvlText w:val="•"/>
      <w:lvlJc w:val="left"/>
      <w:pPr>
        <w:ind w:left="1692" w:hanging="420"/>
      </w:pPr>
      <w:rPr>
        <w:rFonts w:hint="default"/>
        <w:lang w:val="zh-CN" w:eastAsia="zh-CN" w:bidi="zh-CN"/>
      </w:rPr>
    </w:lvl>
    <w:lvl w:ilvl="2" w:tentative="0">
      <w:start w:val="0"/>
      <w:numFmt w:val="bullet"/>
      <w:lvlText w:val="•"/>
      <w:lvlJc w:val="left"/>
      <w:pPr>
        <w:ind w:left="2565" w:hanging="420"/>
      </w:pPr>
      <w:rPr>
        <w:rFonts w:hint="default"/>
        <w:lang w:val="zh-CN" w:eastAsia="zh-CN" w:bidi="zh-CN"/>
      </w:rPr>
    </w:lvl>
    <w:lvl w:ilvl="3" w:tentative="0">
      <w:start w:val="0"/>
      <w:numFmt w:val="bullet"/>
      <w:lvlText w:val="•"/>
      <w:lvlJc w:val="left"/>
      <w:pPr>
        <w:ind w:left="3437" w:hanging="420"/>
      </w:pPr>
      <w:rPr>
        <w:rFonts w:hint="default"/>
        <w:lang w:val="zh-CN" w:eastAsia="zh-CN" w:bidi="zh-CN"/>
      </w:rPr>
    </w:lvl>
    <w:lvl w:ilvl="4" w:tentative="0">
      <w:start w:val="0"/>
      <w:numFmt w:val="bullet"/>
      <w:lvlText w:val="•"/>
      <w:lvlJc w:val="left"/>
      <w:pPr>
        <w:ind w:left="4310" w:hanging="420"/>
      </w:pPr>
      <w:rPr>
        <w:rFonts w:hint="default"/>
        <w:lang w:val="zh-CN" w:eastAsia="zh-CN" w:bidi="zh-CN"/>
      </w:rPr>
    </w:lvl>
    <w:lvl w:ilvl="5" w:tentative="0">
      <w:start w:val="0"/>
      <w:numFmt w:val="bullet"/>
      <w:lvlText w:val="•"/>
      <w:lvlJc w:val="left"/>
      <w:pPr>
        <w:ind w:left="5183" w:hanging="420"/>
      </w:pPr>
      <w:rPr>
        <w:rFonts w:hint="default"/>
        <w:lang w:val="zh-CN" w:eastAsia="zh-CN" w:bidi="zh-CN"/>
      </w:rPr>
    </w:lvl>
    <w:lvl w:ilvl="6" w:tentative="0">
      <w:start w:val="0"/>
      <w:numFmt w:val="bullet"/>
      <w:lvlText w:val="•"/>
      <w:lvlJc w:val="left"/>
      <w:pPr>
        <w:ind w:left="6055" w:hanging="420"/>
      </w:pPr>
      <w:rPr>
        <w:rFonts w:hint="default"/>
        <w:lang w:val="zh-CN" w:eastAsia="zh-CN" w:bidi="zh-CN"/>
      </w:rPr>
    </w:lvl>
    <w:lvl w:ilvl="7" w:tentative="0">
      <w:start w:val="0"/>
      <w:numFmt w:val="bullet"/>
      <w:lvlText w:val="•"/>
      <w:lvlJc w:val="left"/>
      <w:pPr>
        <w:ind w:left="6928" w:hanging="420"/>
      </w:pPr>
      <w:rPr>
        <w:rFonts w:hint="default"/>
        <w:lang w:val="zh-CN" w:eastAsia="zh-CN" w:bidi="zh-CN"/>
      </w:rPr>
    </w:lvl>
    <w:lvl w:ilvl="8" w:tentative="0">
      <w:start w:val="0"/>
      <w:numFmt w:val="bullet"/>
      <w:lvlText w:val="•"/>
      <w:lvlJc w:val="left"/>
      <w:pPr>
        <w:ind w:left="7801" w:hanging="420"/>
      </w:pPr>
      <w:rPr>
        <w:rFonts w:hint="default"/>
        <w:lang w:val="zh-CN" w:eastAsia="zh-CN" w:bidi="zh-CN"/>
      </w:rPr>
    </w:lvl>
  </w:abstractNum>
  <w:abstractNum w:abstractNumId="12">
    <w:nsid w:val="5030839B"/>
    <w:multiLevelType w:val="singleLevel"/>
    <w:tmpl w:val="5030839B"/>
    <w:lvl w:ilvl="0" w:tentative="0">
      <w:start w:val="1"/>
      <w:numFmt w:val="chineseCounting"/>
      <w:suff w:val="nothing"/>
      <w:lvlText w:val="（%1）"/>
      <w:lvlJc w:val="left"/>
      <w:rPr>
        <w:rFonts w:hint="eastAsia"/>
      </w:rPr>
    </w:lvl>
  </w:abstractNum>
  <w:abstractNum w:abstractNumId="13">
    <w:nsid w:val="55556997"/>
    <w:multiLevelType w:val="singleLevel"/>
    <w:tmpl w:val="55556997"/>
    <w:lvl w:ilvl="0" w:tentative="0">
      <w:start w:val="1"/>
      <w:numFmt w:val="bullet"/>
      <w:lvlText w:val=""/>
      <w:lvlJc w:val="left"/>
      <w:pPr>
        <w:ind w:left="420" w:hanging="420"/>
      </w:pPr>
      <w:rPr>
        <w:rFonts w:hint="default" w:ascii="Wingdings" w:hAnsi="Wingdings"/>
      </w:rPr>
    </w:lvl>
  </w:abstractNum>
  <w:abstractNum w:abstractNumId="14">
    <w:nsid w:val="57B70DA3"/>
    <w:multiLevelType w:val="singleLevel"/>
    <w:tmpl w:val="57B70DA3"/>
    <w:lvl w:ilvl="0" w:tentative="0">
      <w:start w:val="4"/>
      <w:numFmt w:val="decimal"/>
      <w:lvlText w:val="(%1)"/>
      <w:lvlJc w:val="left"/>
      <w:pPr>
        <w:tabs>
          <w:tab w:val="left" w:pos="420"/>
        </w:tabs>
        <w:ind w:left="425" w:hanging="425"/>
      </w:pPr>
      <w:rPr>
        <w:rFonts w:hint="default"/>
      </w:rPr>
    </w:lvl>
  </w:abstractNum>
  <w:abstractNum w:abstractNumId="15">
    <w:nsid w:val="60382F6E"/>
    <w:multiLevelType w:val="multilevel"/>
    <w:tmpl w:val="60382F6E"/>
    <w:lvl w:ilvl="0" w:tentative="0">
      <w:start w:val="1"/>
      <w:numFmt w:val="decimal"/>
      <w:lvlText w:val="%1."/>
      <w:lvlJc w:val="left"/>
      <w:pPr>
        <w:ind w:left="823" w:hanging="425"/>
      </w:pPr>
      <w:rPr>
        <w:rFonts w:hint="default" w:ascii="宋体" w:hAnsi="宋体" w:eastAsia="宋体" w:cs="宋体"/>
        <w:w w:val="100"/>
        <w:sz w:val="21"/>
        <w:szCs w:val="21"/>
        <w:lang w:val="zh-CN" w:eastAsia="zh-CN" w:bidi="zh-CN"/>
      </w:rPr>
    </w:lvl>
    <w:lvl w:ilvl="1" w:tentative="0">
      <w:start w:val="1"/>
      <w:numFmt w:val="decimal"/>
      <w:lvlText w:val="（%2）"/>
      <w:lvlJc w:val="left"/>
      <w:pPr>
        <w:ind w:left="1352" w:hanging="529"/>
      </w:pPr>
      <w:rPr>
        <w:rFonts w:hint="default" w:ascii="宋体" w:hAnsi="宋体" w:eastAsia="宋体" w:cs="宋体"/>
        <w:spacing w:val="-3"/>
        <w:w w:val="100"/>
        <w:sz w:val="19"/>
        <w:szCs w:val="19"/>
        <w:lang w:val="zh-CN" w:eastAsia="zh-CN" w:bidi="zh-CN"/>
      </w:rPr>
    </w:lvl>
    <w:lvl w:ilvl="2" w:tentative="0">
      <w:start w:val="0"/>
      <w:numFmt w:val="bullet"/>
      <w:lvlText w:val="•"/>
      <w:lvlJc w:val="left"/>
      <w:pPr>
        <w:ind w:left="2269" w:hanging="529"/>
      </w:pPr>
      <w:rPr>
        <w:rFonts w:hint="default"/>
        <w:lang w:val="zh-CN" w:eastAsia="zh-CN" w:bidi="zh-CN"/>
      </w:rPr>
    </w:lvl>
    <w:lvl w:ilvl="3" w:tentative="0">
      <w:start w:val="0"/>
      <w:numFmt w:val="bullet"/>
      <w:lvlText w:val="•"/>
      <w:lvlJc w:val="left"/>
      <w:pPr>
        <w:ind w:left="3179" w:hanging="529"/>
      </w:pPr>
      <w:rPr>
        <w:rFonts w:hint="default"/>
        <w:lang w:val="zh-CN" w:eastAsia="zh-CN" w:bidi="zh-CN"/>
      </w:rPr>
    </w:lvl>
    <w:lvl w:ilvl="4" w:tentative="0">
      <w:start w:val="0"/>
      <w:numFmt w:val="bullet"/>
      <w:lvlText w:val="•"/>
      <w:lvlJc w:val="left"/>
      <w:pPr>
        <w:ind w:left="4088" w:hanging="529"/>
      </w:pPr>
      <w:rPr>
        <w:rFonts w:hint="default"/>
        <w:lang w:val="zh-CN" w:eastAsia="zh-CN" w:bidi="zh-CN"/>
      </w:rPr>
    </w:lvl>
    <w:lvl w:ilvl="5" w:tentative="0">
      <w:start w:val="0"/>
      <w:numFmt w:val="bullet"/>
      <w:lvlText w:val="•"/>
      <w:lvlJc w:val="left"/>
      <w:pPr>
        <w:ind w:left="4998" w:hanging="529"/>
      </w:pPr>
      <w:rPr>
        <w:rFonts w:hint="default"/>
        <w:lang w:val="zh-CN" w:eastAsia="zh-CN" w:bidi="zh-CN"/>
      </w:rPr>
    </w:lvl>
    <w:lvl w:ilvl="6" w:tentative="0">
      <w:start w:val="0"/>
      <w:numFmt w:val="bullet"/>
      <w:lvlText w:val="•"/>
      <w:lvlJc w:val="left"/>
      <w:pPr>
        <w:ind w:left="5908" w:hanging="529"/>
      </w:pPr>
      <w:rPr>
        <w:rFonts w:hint="default"/>
        <w:lang w:val="zh-CN" w:eastAsia="zh-CN" w:bidi="zh-CN"/>
      </w:rPr>
    </w:lvl>
    <w:lvl w:ilvl="7" w:tentative="0">
      <w:start w:val="0"/>
      <w:numFmt w:val="bullet"/>
      <w:lvlText w:val="•"/>
      <w:lvlJc w:val="left"/>
      <w:pPr>
        <w:ind w:left="6817" w:hanging="529"/>
      </w:pPr>
      <w:rPr>
        <w:rFonts w:hint="default"/>
        <w:lang w:val="zh-CN" w:eastAsia="zh-CN" w:bidi="zh-CN"/>
      </w:rPr>
    </w:lvl>
    <w:lvl w:ilvl="8" w:tentative="0">
      <w:start w:val="0"/>
      <w:numFmt w:val="bullet"/>
      <w:lvlText w:val="•"/>
      <w:lvlJc w:val="left"/>
      <w:pPr>
        <w:ind w:left="7727" w:hanging="529"/>
      </w:pPr>
      <w:rPr>
        <w:rFonts w:hint="default"/>
        <w:lang w:val="zh-CN" w:eastAsia="zh-CN" w:bidi="zh-CN"/>
      </w:rPr>
    </w:lvl>
  </w:abstractNum>
  <w:abstractNum w:abstractNumId="16">
    <w:nsid w:val="629F7852"/>
    <w:multiLevelType w:val="multilevel"/>
    <w:tmpl w:val="629F7852"/>
    <w:lvl w:ilvl="0" w:tentative="0">
      <w:start w:val="4"/>
      <w:numFmt w:val="decimal"/>
      <w:lvlText w:val="%1"/>
      <w:lvlJc w:val="left"/>
      <w:pPr>
        <w:ind w:left="1106" w:hanging="567"/>
      </w:pPr>
      <w:rPr>
        <w:rFonts w:hint="default"/>
        <w:lang w:val="zh-CN" w:eastAsia="zh-CN" w:bidi="zh-CN"/>
      </w:rPr>
    </w:lvl>
    <w:lvl w:ilvl="1" w:tentative="0">
      <w:start w:val="1"/>
      <w:numFmt w:val="decimal"/>
      <w:lvlText w:val="%1.%2."/>
      <w:lvlJc w:val="left"/>
      <w:pPr>
        <w:ind w:left="1106"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789" w:hanging="567"/>
      </w:pPr>
      <w:rPr>
        <w:rFonts w:hint="default"/>
        <w:lang w:val="zh-CN" w:eastAsia="zh-CN" w:bidi="zh-CN"/>
      </w:rPr>
    </w:lvl>
    <w:lvl w:ilvl="3" w:tentative="0">
      <w:start w:val="0"/>
      <w:numFmt w:val="bullet"/>
      <w:lvlText w:val="•"/>
      <w:lvlJc w:val="left"/>
      <w:pPr>
        <w:ind w:left="3633" w:hanging="567"/>
      </w:pPr>
      <w:rPr>
        <w:rFonts w:hint="default"/>
        <w:lang w:val="zh-CN" w:eastAsia="zh-CN" w:bidi="zh-CN"/>
      </w:rPr>
    </w:lvl>
    <w:lvl w:ilvl="4" w:tentative="0">
      <w:start w:val="0"/>
      <w:numFmt w:val="bullet"/>
      <w:lvlText w:val="•"/>
      <w:lvlJc w:val="left"/>
      <w:pPr>
        <w:ind w:left="4478" w:hanging="567"/>
      </w:pPr>
      <w:rPr>
        <w:rFonts w:hint="default"/>
        <w:lang w:val="zh-CN" w:eastAsia="zh-CN" w:bidi="zh-CN"/>
      </w:rPr>
    </w:lvl>
    <w:lvl w:ilvl="5" w:tentative="0">
      <w:start w:val="0"/>
      <w:numFmt w:val="bullet"/>
      <w:lvlText w:val="•"/>
      <w:lvlJc w:val="left"/>
      <w:pPr>
        <w:ind w:left="5323" w:hanging="567"/>
      </w:pPr>
      <w:rPr>
        <w:rFonts w:hint="default"/>
        <w:lang w:val="zh-CN" w:eastAsia="zh-CN" w:bidi="zh-CN"/>
      </w:rPr>
    </w:lvl>
    <w:lvl w:ilvl="6" w:tentative="0">
      <w:start w:val="0"/>
      <w:numFmt w:val="bullet"/>
      <w:lvlText w:val="•"/>
      <w:lvlJc w:val="left"/>
      <w:pPr>
        <w:ind w:left="6167" w:hanging="567"/>
      </w:pPr>
      <w:rPr>
        <w:rFonts w:hint="default"/>
        <w:lang w:val="zh-CN" w:eastAsia="zh-CN" w:bidi="zh-CN"/>
      </w:rPr>
    </w:lvl>
    <w:lvl w:ilvl="7" w:tentative="0">
      <w:start w:val="0"/>
      <w:numFmt w:val="bullet"/>
      <w:lvlText w:val="•"/>
      <w:lvlJc w:val="left"/>
      <w:pPr>
        <w:ind w:left="7012" w:hanging="567"/>
      </w:pPr>
      <w:rPr>
        <w:rFonts w:hint="default"/>
        <w:lang w:val="zh-CN" w:eastAsia="zh-CN" w:bidi="zh-CN"/>
      </w:rPr>
    </w:lvl>
    <w:lvl w:ilvl="8" w:tentative="0">
      <w:start w:val="0"/>
      <w:numFmt w:val="bullet"/>
      <w:lvlText w:val="•"/>
      <w:lvlJc w:val="left"/>
      <w:pPr>
        <w:ind w:left="7857" w:hanging="567"/>
      </w:pPr>
      <w:rPr>
        <w:rFonts w:hint="default"/>
        <w:lang w:val="zh-CN" w:eastAsia="zh-CN" w:bidi="zh-CN"/>
      </w:rPr>
    </w:lvl>
  </w:abstractNum>
  <w:abstractNum w:abstractNumId="17">
    <w:nsid w:val="62C3252F"/>
    <w:multiLevelType w:val="multilevel"/>
    <w:tmpl w:val="62C3252F"/>
    <w:lvl w:ilvl="0" w:tentative="0">
      <w:start w:val="1"/>
      <w:numFmt w:val="bullet"/>
      <w:lvlText w:val=""/>
      <w:lvlJc w:val="left"/>
      <w:pPr>
        <w:ind w:left="860" w:hanging="440"/>
      </w:pPr>
      <w:rPr>
        <w:rFonts w:hint="default" w:ascii="Wingdings" w:hAnsi="Wingdings"/>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18">
    <w:nsid w:val="6F7F33E3"/>
    <w:multiLevelType w:val="singleLevel"/>
    <w:tmpl w:val="6F7F33E3"/>
    <w:lvl w:ilvl="0" w:tentative="0">
      <w:start w:val="1"/>
      <w:numFmt w:val="decimalEnclosedCircleChinese"/>
      <w:suff w:val="nothing"/>
      <w:lvlText w:val="%1　"/>
      <w:lvlJc w:val="left"/>
      <w:pPr>
        <w:ind w:left="0" w:firstLine="400"/>
      </w:pPr>
      <w:rPr>
        <w:rFonts w:hint="eastAsia"/>
      </w:rPr>
    </w:lvl>
  </w:abstractNum>
  <w:abstractNum w:abstractNumId="19">
    <w:nsid w:val="77ECEA79"/>
    <w:multiLevelType w:val="multilevel"/>
    <w:tmpl w:val="77ECEA79"/>
    <w:lvl w:ilvl="0" w:tentative="0">
      <w:start w:val="2"/>
      <w:numFmt w:val="decimal"/>
      <w:lvlText w:val="%1"/>
      <w:lvlJc w:val="left"/>
      <w:pPr>
        <w:ind w:left="965" w:hanging="425"/>
      </w:pPr>
      <w:rPr>
        <w:rFonts w:hint="default"/>
        <w:lang w:val="zh-CN" w:eastAsia="zh-CN" w:bidi="zh-CN"/>
      </w:rPr>
    </w:lvl>
    <w:lvl w:ilvl="1" w:tentative="0">
      <w:start w:val="1"/>
      <w:numFmt w:val="decimal"/>
      <w:lvlText w:val="%1.%2."/>
      <w:lvlJc w:val="left"/>
      <w:pPr>
        <w:ind w:left="965" w:hanging="425"/>
      </w:pPr>
      <w:rPr>
        <w:rFonts w:hint="default" w:ascii="宋体" w:hAnsi="宋体" w:eastAsia="宋体" w:cs="宋体"/>
        <w:w w:val="100"/>
        <w:sz w:val="19"/>
        <w:szCs w:val="19"/>
        <w:lang w:val="zh-CN" w:eastAsia="zh-CN" w:bidi="zh-CN"/>
      </w:rPr>
    </w:lvl>
    <w:lvl w:ilvl="2" w:tentative="0">
      <w:start w:val="0"/>
      <w:numFmt w:val="bullet"/>
      <w:lvlText w:val="•"/>
      <w:lvlJc w:val="left"/>
      <w:pPr>
        <w:ind w:left="2677" w:hanging="425"/>
      </w:pPr>
      <w:rPr>
        <w:rFonts w:hint="default"/>
        <w:lang w:val="zh-CN" w:eastAsia="zh-CN" w:bidi="zh-CN"/>
      </w:rPr>
    </w:lvl>
    <w:lvl w:ilvl="3" w:tentative="0">
      <w:start w:val="0"/>
      <w:numFmt w:val="bullet"/>
      <w:lvlText w:val="•"/>
      <w:lvlJc w:val="left"/>
      <w:pPr>
        <w:ind w:left="3535" w:hanging="425"/>
      </w:pPr>
      <w:rPr>
        <w:rFonts w:hint="default"/>
        <w:lang w:val="zh-CN" w:eastAsia="zh-CN" w:bidi="zh-CN"/>
      </w:rPr>
    </w:lvl>
    <w:lvl w:ilvl="4" w:tentative="0">
      <w:start w:val="0"/>
      <w:numFmt w:val="bullet"/>
      <w:lvlText w:val="•"/>
      <w:lvlJc w:val="left"/>
      <w:pPr>
        <w:ind w:left="4394" w:hanging="425"/>
      </w:pPr>
      <w:rPr>
        <w:rFonts w:hint="default"/>
        <w:lang w:val="zh-CN" w:eastAsia="zh-CN" w:bidi="zh-CN"/>
      </w:rPr>
    </w:lvl>
    <w:lvl w:ilvl="5" w:tentative="0">
      <w:start w:val="0"/>
      <w:numFmt w:val="bullet"/>
      <w:lvlText w:val="•"/>
      <w:lvlJc w:val="left"/>
      <w:pPr>
        <w:ind w:left="5253" w:hanging="425"/>
      </w:pPr>
      <w:rPr>
        <w:rFonts w:hint="default"/>
        <w:lang w:val="zh-CN" w:eastAsia="zh-CN" w:bidi="zh-CN"/>
      </w:rPr>
    </w:lvl>
    <w:lvl w:ilvl="6" w:tentative="0">
      <w:start w:val="0"/>
      <w:numFmt w:val="bullet"/>
      <w:lvlText w:val="•"/>
      <w:lvlJc w:val="left"/>
      <w:pPr>
        <w:ind w:left="6111" w:hanging="425"/>
      </w:pPr>
      <w:rPr>
        <w:rFonts w:hint="default"/>
        <w:lang w:val="zh-CN" w:eastAsia="zh-CN" w:bidi="zh-CN"/>
      </w:rPr>
    </w:lvl>
    <w:lvl w:ilvl="7" w:tentative="0">
      <w:start w:val="0"/>
      <w:numFmt w:val="bullet"/>
      <w:lvlText w:val="•"/>
      <w:lvlJc w:val="left"/>
      <w:pPr>
        <w:ind w:left="6970" w:hanging="425"/>
      </w:pPr>
      <w:rPr>
        <w:rFonts w:hint="default"/>
        <w:lang w:val="zh-CN" w:eastAsia="zh-CN" w:bidi="zh-CN"/>
      </w:rPr>
    </w:lvl>
    <w:lvl w:ilvl="8" w:tentative="0">
      <w:start w:val="0"/>
      <w:numFmt w:val="bullet"/>
      <w:lvlText w:val="•"/>
      <w:lvlJc w:val="left"/>
      <w:pPr>
        <w:ind w:left="7829" w:hanging="425"/>
      </w:pPr>
      <w:rPr>
        <w:rFonts w:hint="default"/>
        <w:lang w:val="zh-CN" w:eastAsia="zh-CN" w:bidi="zh-CN"/>
      </w:rPr>
    </w:lvl>
  </w:abstractNum>
  <w:abstractNum w:abstractNumId="20">
    <w:nsid w:val="7C246926"/>
    <w:multiLevelType w:val="multilevel"/>
    <w:tmpl w:val="7C246926"/>
    <w:lvl w:ilvl="0" w:tentative="0">
      <w:start w:val="1"/>
      <w:numFmt w:val="decimal"/>
      <w:lvlText w:val="%1."/>
      <w:lvlJc w:val="left"/>
      <w:pPr>
        <w:ind w:left="823" w:hanging="425"/>
      </w:pPr>
      <w:rPr>
        <w:rFonts w:hint="default" w:ascii="宋体" w:hAnsi="宋体" w:eastAsia="宋体" w:cs="宋体"/>
        <w:w w:val="100"/>
        <w:sz w:val="21"/>
        <w:szCs w:val="21"/>
        <w:lang w:val="zh-CN" w:eastAsia="zh-CN" w:bidi="zh-CN"/>
      </w:rPr>
    </w:lvl>
    <w:lvl w:ilvl="1" w:tentative="0">
      <w:start w:val="1"/>
      <w:numFmt w:val="decimal"/>
      <w:lvlText w:val="（%2）"/>
      <w:lvlJc w:val="left"/>
      <w:pPr>
        <w:ind w:left="823" w:hanging="529"/>
      </w:pPr>
      <w:rPr>
        <w:rFonts w:hint="default" w:ascii="宋体" w:hAnsi="宋体" w:eastAsia="宋体" w:cs="宋体"/>
        <w:spacing w:val="-3"/>
        <w:w w:val="100"/>
        <w:sz w:val="19"/>
        <w:szCs w:val="19"/>
        <w:lang w:val="zh-CN" w:eastAsia="zh-CN" w:bidi="zh-CN"/>
      </w:rPr>
    </w:lvl>
    <w:lvl w:ilvl="2" w:tentative="0">
      <w:start w:val="0"/>
      <w:numFmt w:val="bullet"/>
      <w:lvlText w:val="•"/>
      <w:lvlJc w:val="left"/>
      <w:pPr>
        <w:ind w:left="2565" w:hanging="529"/>
      </w:pPr>
      <w:rPr>
        <w:rFonts w:hint="default"/>
        <w:lang w:val="zh-CN" w:eastAsia="zh-CN" w:bidi="zh-CN"/>
      </w:rPr>
    </w:lvl>
    <w:lvl w:ilvl="3" w:tentative="0">
      <w:start w:val="0"/>
      <w:numFmt w:val="bullet"/>
      <w:lvlText w:val="•"/>
      <w:lvlJc w:val="left"/>
      <w:pPr>
        <w:ind w:left="3437" w:hanging="529"/>
      </w:pPr>
      <w:rPr>
        <w:rFonts w:hint="default"/>
        <w:lang w:val="zh-CN" w:eastAsia="zh-CN" w:bidi="zh-CN"/>
      </w:rPr>
    </w:lvl>
    <w:lvl w:ilvl="4" w:tentative="0">
      <w:start w:val="0"/>
      <w:numFmt w:val="bullet"/>
      <w:lvlText w:val="•"/>
      <w:lvlJc w:val="left"/>
      <w:pPr>
        <w:ind w:left="4310" w:hanging="529"/>
      </w:pPr>
      <w:rPr>
        <w:rFonts w:hint="default"/>
        <w:lang w:val="zh-CN" w:eastAsia="zh-CN" w:bidi="zh-CN"/>
      </w:rPr>
    </w:lvl>
    <w:lvl w:ilvl="5" w:tentative="0">
      <w:start w:val="0"/>
      <w:numFmt w:val="bullet"/>
      <w:lvlText w:val="•"/>
      <w:lvlJc w:val="left"/>
      <w:pPr>
        <w:ind w:left="5183" w:hanging="529"/>
      </w:pPr>
      <w:rPr>
        <w:rFonts w:hint="default"/>
        <w:lang w:val="zh-CN" w:eastAsia="zh-CN" w:bidi="zh-CN"/>
      </w:rPr>
    </w:lvl>
    <w:lvl w:ilvl="6" w:tentative="0">
      <w:start w:val="0"/>
      <w:numFmt w:val="bullet"/>
      <w:lvlText w:val="•"/>
      <w:lvlJc w:val="left"/>
      <w:pPr>
        <w:ind w:left="6055" w:hanging="529"/>
      </w:pPr>
      <w:rPr>
        <w:rFonts w:hint="default"/>
        <w:lang w:val="zh-CN" w:eastAsia="zh-CN" w:bidi="zh-CN"/>
      </w:rPr>
    </w:lvl>
    <w:lvl w:ilvl="7" w:tentative="0">
      <w:start w:val="0"/>
      <w:numFmt w:val="bullet"/>
      <w:lvlText w:val="•"/>
      <w:lvlJc w:val="left"/>
      <w:pPr>
        <w:ind w:left="6928" w:hanging="529"/>
      </w:pPr>
      <w:rPr>
        <w:rFonts w:hint="default"/>
        <w:lang w:val="zh-CN" w:eastAsia="zh-CN" w:bidi="zh-CN"/>
      </w:rPr>
    </w:lvl>
    <w:lvl w:ilvl="8" w:tentative="0">
      <w:start w:val="0"/>
      <w:numFmt w:val="bullet"/>
      <w:lvlText w:val="•"/>
      <w:lvlJc w:val="left"/>
      <w:pPr>
        <w:ind w:left="7801" w:hanging="529"/>
      </w:pPr>
      <w:rPr>
        <w:rFonts w:hint="default"/>
        <w:lang w:val="zh-CN" w:eastAsia="zh-CN" w:bidi="zh-CN"/>
      </w:rPr>
    </w:lvl>
  </w:abstractNum>
  <w:abstractNum w:abstractNumId="21">
    <w:nsid w:val="7DEC2089"/>
    <w:multiLevelType w:val="multilevel"/>
    <w:tmpl w:val="7DEC2089"/>
    <w:lvl w:ilvl="0" w:tentative="0">
      <w:start w:val="1"/>
      <w:numFmt w:val="decimal"/>
      <w:lvlText w:val="%1."/>
      <w:lvlJc w:val="left"/>
      <w:pPr>
        <w:ind w:left="818" w:hanging="420"/>
      </w:pPr>
      <w:rPr>
        <w:rFonts w:hint="default" w:ascii="宋体" w:hAnsi="宋体" w:eastAsia="宋体" w:cs="宋体"/>
        <w:w w:val="100"/>
        <w:sz w:val="21"/>
        <w:szCs w:val="21"/>
        <w:lang w:val="zh-CN" w:eastAsia="zh-CN" w:bidi="zh-CN"/>
      </w:rPr>
    </w:lvl>
    <w:lvl w:ilvl="1" w:tentative="0">
      <w:start w:val="0"/>
      <w:numFmt w:val="bullet"/>
      <w:lvlText w:val="•"/>
      <w:lvlJc w:val="left"/>
      <w:pPr>
        <w:ind w:left="1692" w:hanging="420"/>
      </w:pPr>
      <w:rPr>
        <w:rFonts w:hint="default"/>
        <w:lang w:val="zh-CN" w:eastAsia="zh-CN" w:bidi="zh-CN"/>
      </w:rPr>
    </w:lvl>
    <w:lvl w:ilvl="2" w:tentative="0">
      <w:start w:val="0"/>
      <w:numFmt w:val="bullet"/>
      <w:lvlText w:val="•"/>
      <w:lvlJc w:val="left"/>
      <w:pPr>
        <w:ind w:left="2565" w:hanging="420"/>
      </w:pPr>
      <w:rPr>
        <w:rFonts w:hint="default"/>
        <w:lang w:val="zh-CN" w:eastAsia="zh-CN" w:bidi="zh-CN"/>
      </w:rPr>
    </w:lvl>
    <w:lvl w:ilvl="3" w:tentative="0">
      <w:start w:val="0"/>
      <w:numFmt w:val="bullet"/>
      <w:lvlText w:val="•"/>
      <w:lvlJc w:val="left"/>
      <w:pPr>
        <w:ind w:left="3437" w:hanging="420"/>
      </w:pPr>
      <w:rPr>
        <w:rFonts w:hint="default"/>
        <w:lang w:val="zh-CN" w:eastAsia="zh-CN" w:bidi="zh-CN"/>
      </w:rPr>
    </w:lvl>
    <w:lvl w:ilvl="4" w:tentative="0">
      <w:start w:val="0"/>
      <w:numFmt w:val="bullet"/>
      <w:lvlText w:val="•"/>
      <w:lvlJc w:val="left"/>
      <w:pPr>
        <w:ind w:left="4310" w:hanging="420"/>
      </w:pPr>
      <w:rPr>
        <w:rFonts w:hint="default"/>
        <w:lang w:val="zh-CN" w:eastAsia="zh-CN" w:bidi="zh-CN"/>
      </w:rPr>
    </w:lvl>
    <w:lvl w:ilvl="5" w:tentative="0">
      <w:start w:val="0"/>
      <w:numFmt w:val="bullet"/>
      <w:lvlText w:val="•"/>
      <w:lvlJc w:val="left"/>
      <w:pPr>
        <w:ind w:left="5183" w:hanging="420"/>
      </w:pPr>
      <w:rPr>
        <w:rFonts w:hint="default"/>
        <w:lang w:val="zh-CN" w:eastAsia="zh-CN" w:bidi="zh-CN"/>
      </w:rPr>
    </w:lvl>
    <w:lvl w:ilvl="6" w:tentative="0">
      <w:start w:val="0"/>
      <w:numFmt w:val="bullet"/>
      <w:lvlText w:val="•"/>
      <w:lvlJc w:val="left"/>
      <w:pPr>
        <w:ind w:left="6055" w:hanging="420"/>
      </w:pPr>
      <w:rPr>
        <w:rFonts w:hint="default"/>
        <w:lang w:val="zh-CN" w:eastAsia="zh-CN" w:bidi="zh-CN"/>
      </w:rPr>
    </w:lvl>
    <w:lvl w:ilvl="7" w:tentative="0">
      <w:start w:val="0"/>
      <w:numFmt w:val="bullet"/>
      <w:lvlText w:val="•"/>
      <w:lvlJc w:val="left"/>
      <w:pPr>
        <w:ind w:left="6928" w:hanging="420"/>
      </w:pPr>
      <w:rPr>
        <w:rFonts w:hint="default"/>
        <w:lang w:val="zh-CN" w:eastAsia="zh-CN" w:bidi="zh-CN"/>
      </w:rPr>
    </w:lvl>
    <w:lvl w:ilvl="8" w:tentative="0">
      <w:start w:val="0"/>
      <w:numFmt w:val="bullet"/>
      <w:lvlText w:val="•"/>
      <w:lvlJc w:val="left"/>
      <w:pPr>
        <w:ind w:left="7801" w:hanging="420"/>
      </w:pPr>
      <w:rPr>
        <w:rFonts w:hint="default"/>
        <w:lang w:val="zh-CN" w:eastAsia="zh-CN" w:bidi="zh-CN"/>
      </w:rPr>
    </w:lvl>
  </w:abstractNum>
  <w:num w:numId="1">
    <w:abstractNumId w:val="14"/>
  </w:num>
  <w:num w:numId="2">
    <w:abstractNumId w:val="18"/>
  </w:num>
  <w:num w:numId="3">
    <w:abstractNumId w:val="11"/>
  </w:num>
  <w:num w:numId="4">
    <w:abstractNumId w:val="9"/>
  </w:num>
  <w:num w:numId="5">
    <w:abstractNumId w:val="4"/>
  </w:num>
  <w:num w:numId="6">
    <w:abstractNumId w:val="5"/>
  </w:num>
  <w:num w:numId="7">
    <w:abstractNumId w:val="13"/>
  </w:num>
  <w:num w:numId="8">
    <w:abstractNumId w:val="6"/>
  </w:num>
  <w:num w:numId="9">
    <w:abstractNumId w:val="17"/>
  </w:num>
  <w:num w:numId="10">
    <w:abstractNumId w:val="10"/>
  </w:num>
  <w:num w:numId="11">
    <w:abstractNumId w:val="15"/>
  </w:num>
  <w:num w:numId="12">
    <w:abstractNumId w:val="12"/>
  </w:num>
  <w:num w:numId="13">
    <w:abstractNumId w:val="7"/>
  </w:num>
  <w:num w:numId="14">
    <w:abstractNumId w:val="2"/>
  </w:num>
  <w:num w:numId="15">
    <w:abstractNumId w:val="8"/>
  </w:num>
  <w:num w:numId="16">
    <w:abstractNumId w:val="20"/>
  </w:num>
  <w:num w:numId="17">
    <w:abstractNumId w:val="19"/>
  </w:num>
  <w:num w:numId="18">
    <w:abstractNumId w:val="3"/>
  </w:num>
  <w:num w:numId="19">
    <w:abstractNumId w:val="16"/>
  </w:num>
  <w:num w:numId="20">
    <w:abstractNumId w:val="1"/>
  </w:num>
  <w:num w:numId="21">
    <w:abstractNumId w:val="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4ODcwMGExY2QzZDViNDRlN2IyMDVhMjQ0NGFhMTkifQ=="/>
  </w:docVars>
  <w:rsids>
    <w:rsidRoot w:val="4E8C530A"/>
    <w:rsid w:val="009A0C03"/>
    <w:rsid w:val="017C4743"/>
    <w:rsid w:val="01BB5A85"/>
    <w:rsid w:val="02F91D70"/>
    <w:rsid w:val="03217B69"/>
    <w:rsid w:val="06190FCC"/>
    <w:rsid w:val="0664493D"/>
    <w:rsid w:val="06C947A0"/>
    <w:rsid w:val="074309F6"/>
    <w:rsid w:val="07EA70C4"/>
    <w:rsid w:val="08017F69"/>
    <w:rsid w:val="080F6B2A"/>
    <w:rsid w:val="08B03E69"/>
    <w:rsid w:val="0D3112F1"/>
    <w:rsid w:val="0E325320"/>
    <w:rsid w:val="10505F32"/>
    <w:rsid w:val="10BE10ED"/>
    <w:rsid w:val="11561326"/>
    <w:rsid w:val="126857B5"/>
    <w:rsid w:val="144B713C"/>
    <w:rsid w:val="159B7C4F"/>
    <w:rsid w:val="16A82624"/>
    <w:rsid w:val="16BF6416"/>
    <w:rsid w:val="181A12FF"/>
    <w:rsid w:val="18695DE3"/>
    <w:rsid w:val="187529D9"/>
    <w:rsid w:val="1888270D"/>
    <w:rsid w:val="199F06DE"/>
    <w:rsid w:val="1BC25F36"/>
    <w:rsid w:val="1BF63E31"/>
    <w:rsid w:val="1C26100A"/>
    <w:rsid w:val="1D8F0099"/>
    <w:rsid w:val="1E6728BA"/>
    <w:rsid w:val="1FAA00DC"/>
    <w:rsid w:val="20BD316F"/>
    <w:rsid w:val="21244F9D"/>
    <w:rsid w:val="21577120"/>
    <w:rsid w:val="21F668A9"/>
    <w:rsid w:val="22A939AB"/>
    <w:rsid w:val="22F95FB5"/>
    <w:rsid w:val="24D67678"/>
    <w:rsid w:val="276F4A98"/>
    <w:rsid w:val="28F96574"/>
    <w:rsid w:val="2BC43604"/>
    <w:rsid w:val="2C071743"/>
    <w:rsid w:val="2C550700"/>
    <w:rsid w:val="2C5A5D16"/>
    <w:rsid w:val="2CA13D61"/>
    <w:rsid w:val="2FA21EAE"/>
    <w:rsid w:val="30556F21"/>
    <w:rsid w:val="30B73737"/>
    <w:rsid w:val="32717916"/>
    <w:rsid w:val="33490893"/>
    <w:rsid w:val="33B0446E"/>
    <w:rsid w:val="34627CBF"/>
    <w:rsid w:val="34645984"/>
    <w:rsid w:val="362829E1"/>
    <w:rsid w:val="38D429AD"/>
    <w:rsid w:val="3A8521B0"/>
    <w:rsid w:val="3B1D1284"/>
    <w:rsid w:val="3B544EC3"/>
    <w:rsid w:val="3BB15227"/>
    <w:rsid w:val="3BD3519D"/>
    <w:rsid w:val="3BDC04F6"/>
    <w:rsid w:val="3D9646D4"/>
    <w:rsid w:val="3D990C39"/>
    <w:rsid w:val="3F3D5750"/>
    <w:rsid w:val="400973E0"/>
    <w:rsid w:val="41AC44C7"/>
    <w:rsid w:val="44501A81"/>
    <w:rsid w:val="44CD1324"/>
    <w:rsid w:val="47C06F1E"/>
    <w:rsid w:val="4A4C6847"/>
    <w:rsid w:val="4D2E492A"/>
    <w:rsid w:val="4DB36BDD"/>
    <w:rsid w:val="4E8C530A"/>
    <w:rsid w:val="4F204746"/>
    <w:rsid w:val="4FF97471"/>
    <w:rsid w:val="50901457"/>
    <w:rsid w:val="50BE4216"/>
    <w:rsid w:val="52013284"/>
    <w:rsid w:val="5222454C"/>
    <w:rsid w:val="539C6040"/>
    <w:rsid w:val="54232D0E"/>
    <w:rsid w:val="548F7563"/>
    <w:rsid w:val="5495528E"/>
    <w:rsid w:val="54BC6CBF"/>
    <w:rsid w:val="54C3004D"/>
    <w:rsid w:val="54DA77FE"/>
    <w:rsid w:val="54E24058"/>
    <w:rsid w:val="54F3ED49"/>
    <w:rsid w:val="5522723D"/>
    <w:rsid w:val="55711857"/>
    <w:rsid w:val="566B274A"/>
    <w:rsid w:val="57B343A9"/>
    <w:rsid w:val="57B63E99"/>
    <w:rsid w:val="58DD3F35"/>
    <w:rsid w:val="59747B68"/>
    <w:rsid w:val="5A97192E"/>
    <w:rsid w:val="5B2A612B"/>
    <w:rsid w:val="5CBC59B1"/>
    <w:rsid w:val="61314591"/>
    <w:rsid w:val="62456545"/>
    <w:rsid w:val="635B76A3"/>
    <w:rsid w:val="650D2C1F"/>
    <w:rsid w:val="66805D9E"/>
    <w:rsid w:val="677671A1"/>
    <w:rsid w:val="68152516"/>
    <w:rsid w:val="68336E40"/>
    <w:rsid w:val="6A662A78"/>
    <w:rsid w:val="6A701C86"/>
    <w:rsid w:val="6BD66460"/>
    <w:rsid w:val="6D673814"/>
    <w:rsid w:val="6E624A90"/>
    <w:rsid w:val="71B0505E"/>
    <w:rsid w:val="72EE22E1"/>
    <w:rsid w:val="73552361"/>
    <w:rsid w:val="736B1B84"/>
    <w:rsid w:val="737B1245"/>
    <w:rsid w:val="750556C0"/>
    <w:rsid w:val="76A24080"/>
    <w:rsid w:val="793A002E"/>
    <w:rsid w:val="7A7F787C"/>
    <w:rsid w:val="7AB83901"/>
    <w:rsid w:val="7AF95CC7"/>
    <w:rsid w:val="7CAB1295"/>
    <w:rsid w:val="7D0D39AA"/>
    <w:rsid w:val="7D221505"/>
    <w:rsid w:val="7D7C2F0A"/>
    <w:rsid w:val="7DA95783"/>
    <w:rsid w:val="7F8C710A"/>
    <w:rsid w:val="FFFB8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29"/>
      <w:ind w:left="837" w:right="899"/>
      <w:jc w:val="center"/>
      <w:outlineLvl w:val="0"/>
    </w:pPr>
    <w:rPr>
      <w:b/>
      <w:bCs/>
      <w:sz w:val="50"/>
      <w:szCs w:val="50"/>
    </w:rPr>
  </w:style>
  <w:style w:type="paragraph" w:styleId="4">
    <w:name w:val="heading 3"/>
    <w:basedOn w:val="1"/>
    <w:next w:val="1"/>
    <w:qFormat/>
    <w:uiPriority w:val="1"/>
    <w:pPr>
      <w:spacing w:before="58"/>
      <w:ind w:left="838" w:right="899"/>
      <w:jc w:val="center"/>
      <w:outlineLvl w:val="2"/>
    </w:pPr>
    <w:rPr>
      <w:b/>
      <w:bCs/>
      <w:sz w:val="30"/>
      <w:szCs w:val="30"/>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_Style 3"/>
    <w:basedOn w:val="1"/>
    <w:qFormat/>
    <w:uiPriority w:val="0"/>
    <w:pPr>
      <w:ind w:firstLine="420" w:firstLineChars="200"/>
    </w:pPr>
    <w:rPr>
      <w:rFonts w:ascii="Calibri" w:hAnsi="Calibri" w:cs="Calibri"/>
      <w:szCs w:val="21"/>
    </w:rPr>
  </w:style>
  <w:style w:type="paragraph" w:styleId="5">
    <w:name w:val="Body Text"/>
    <w:basedOn w:val="1"/>
    <w:qFormat/>
    <w:uiPriority w:val="1"/>
    <w:rPr>
      <w:sz w:val="21"/>
      <w:szCs w:val="21"/>
    </w:rPr>
  </w:style>
  <w:style w:type="paragraph" w:styleId="6">
    <w:name w:val="footer"/>
    <w:basedOn w:val="1"/>
    <w:qFormat/>
    <w:uiPriority w:val="99"/>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1"/>
    <w:pPr>
      <w:spacing w:before="176"/>
      <w:ind w:left="1030" w:hanging="632"/>
    </w:pPr>
    <w:rPr>
      <w:b/>
      <w:bCs/>
      <w:sz w:val="20"/>
      <w:szCs w:val="20"/>
    </w:rPr>
  </w:style>
  <w:style w:type="paragraph" w:styleId="9">
    <w:name w:val="Normal (Web)"/>
    <w:basedOn w:val="1"/>
    <w:qFormat/>
    <w:uiPriority w:val="0"/>
    <w:pPr>
      <w:spacing w:beforeAutospacing="1" w:afterAutospacing="1"/>
    </w:pPr>
    <w:rPr>
      <w:rFonts w:cs="Times New Roman"/>
      <w:sz w:val="24"/>
    </w:rPr>
  </w:style>
  <w:style w:type="table" w:styleId="11">
    <w:name w:val="Table Grid"/>
    <w:basedOn w:val="10"/>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paragraph" w:customStyle="1" w:styleId="14">
    <w:name w:val="列出段落1"/>
    <w:basedOn w:val="1"/>
    <w:qFormat/>
    <w:uiPriority w:val="1"/>
    <w:pPr>
      <w:ind w:left="965" w:hanging="567"/>
    </w:pPr>
  </w:style>
  <w:style w:type="paragraph" w:customStyle="1" w:styleId="15">
    <w:name w:val="Table Paragraph"/>
    <w:basedOn w:val="1"/>
    <w:qFormat/>
    <w:uiPriority w:val="1"/>
  </w:style>
  <w:style w:type="character" w:customStyle="1" w:styleId="16">
    <w:name w:val="font41"/>
    <w:basedOn w:val="12"/>
    <w:qFormat/>
    <w:uiPriority w:val="0"/>
    <w:rPr>
      <w:rFonts w:hint="eastAsia" w:ascii="宋体" w:hAnsi="宋体" w:eastAsia="宋体" w:cs="宋体"/>
      <w:color w:val="000000"/>
      <w:sz w:val="24"/>
      <w:szCs w:val="24"/>
      <w:u w:val="none"/>
    </w:rPr>
  </w:style>
  <w:style w:type="paragraph" w:styleId="17">
    <w:name w:val="List Paragraph"/>
    <w:basedOn w:val="1"/>
    <w:qFormat/>
    <w:uiPriority w:val="34"/>
    <w:pPr>
      <w:ind w:left="720"/>
      <w:contextualSpacing/>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23573</Words>
  <Characters>24319</Characters>
  <Lines>0</Lines>
  <Paragraphs>0</Paragraphs>
  <TotalTime>37</TotalTime>
  <ScaleCrop>false</ScaleCrop>
  <LinksUpToDate>false</LinksUpToDate>
  <CharactersWithSpaces>24742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2024-07-31T16:13:00Z</dcterms:created>
  <dc:creator>Admin</dc:creator>
  <cp:lastModifiedBy>奋斗的小草</cp:lastModifiedBy>
  <cp:lastPrinted>2024-07-31T16:17:00Z</cp:lastPrinted>
  <dcterms:modified xsi:type="dcterms:W3CDTF">2024-08-15T02:39:55Z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D3D33B613B521F4E4233AA66CF2FC693_43</vt:lpwstr>
  </property>
</Properties>
</file>