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auto"/>
        <w:jc w:val="left"/>
        <w:rPr>
          <w:rFonts w:hint="eastAsia" w:ascii="宋体" w:hAnsi="宋体"/>
          <w:b/>
          <w:sz w:val="30"/>
          <w:szCs w:val="30"/>
        </w:rPr>
      </w:pPr>
      <w:bookmarkStart w:id="3" w:name="_GoBack"/>
      <w:r>
        <w:rPr>
          <w:rFonts w:hint="eastAsia" w:ascii="宋体" w:hAnsi="宋体"/>
          <w:b/>
          <w:sz w:val="30"/>
          <w:szCs w:val="30"/>
          <w:lang w:val="en-US" w:eastAsia="zh-CN"/>
        </w:rPr>
        <w:t>附件二：</w:t>
      </w:r>
      <w:r>
        <w:rPr>
          <w:rFonts w:hint="eastAsia" w:ascii="宋体" w:hAnsi="宋体"/>
          <w:b/>
          <w:sz w:val="30"/>
          <w:szCs w:val="30"/>
        </w:rPr>
        <w:t>采购需求方案</w:t>
      </w:r>
    </w:p>
    <w:bookmarkEnd w:id="3"/>
    <w:p>
      <w:pPr>
        <w:spacing w:line="300" w:lineRule="auto"/>
        <w:jc w:val="center"/>
        <w:rPr>
          <w:rFonts w:ascii="宋体" w:hAnsi="宋体"/>
          <w:b/>
          <w:sz w:val="24"/>
          <w:szCs w:val="24"/>
        </w:rPr>
      </w:pPr>
      <w:r>
        <w:rPr>
          <w:rFonts w:hint="eastAsia" w:ascii="宋体" w:hAnsi="宋体"/>
          <w:b/>
          <w:sz w:val="24"/>
          <w:szCs w:val="24"/>
        </w:rPr>
        <w:t>采购人需求书</w:t>
      </w:r>
    </w:p>
    <w:p>
      <w:pPr>
        <w:tabs>
          <w:tab w:val="left" w:pos="8540"/>
        </w:tabs>
        <w:spacing w:line="300" w:lineRule="auto"/>
        <w:ind w:firstLine="211" w:firstLineChars="100"/>
        <w:rPr>
          <w:rFonts w:ascii="宋体" w:hAnsi="宋体" w:cs="Arial"/>
          <w:b/>
          <w:szCs w:val="21"/>
        </w:rPr>
      </w:pPr>
      <w:bookmarkStart w:id="0" w:name="_Toc60205385"/>
      <w:bookmarkStart w:id="1" w:name="_Toc489555489"/>
      <w:bookmarkStart w:id="2" w:name="_Toc511787279"/>
      <w:r>
        <w:rPr>
          <w:rFonts w:hint="eastAsia" w:ascii="宋体" w:hAnsi="宋体" w:cs="Arial"/>
          <w:b/>
          <w:szCs w:val="21"/>
        </w:rPr>
        <w:t>一、商务要求</w:t>
      </w:r>
      <w:r>
        <w:rPr>
          <w:rFonts w:ascii="宋体" w:hAnsi="宋体" w:cs="Arial"/>
          <w:b/>
          <w:szCs w:val="21"/>
        </w:rPr>
        <w:tab/>
      </w:r>
    </w:p>
    <w:p>
      <w:pPr>
        <w:tabs>
          <w:tab w:val="left" w:pos="720"/>
        </w:tabs>
        <w:spacing w:line="300" w:lineRule="auto"/>
        <w:ind w:firstLine="420" w:firstLineChars="200"/>
        <w:outlineLvl w:val="0"/>
        <w:rPr>
          <w:rFonts w:ascii="宋体" w:hAnsi="宋体" w:cs="宋体"/>
          <w:szCs w:val="21"/>
          <w:lang w:val="en-GB"/>
        </w:rPr>
      </w:pPr>
      <w:r>
        <w:rPr>
          <w:rFonts w:hint="eastAsia" w:ascii="宋体" w:hAnsi="宋体" w:cs="宋体"/>
          <w:szCs w:val="21"/>
          <w:lang w:val="en-GB"/>
        </w:rPr>
        <w:t>1.报价要求：报价应为服务期内完成服务的全过程含税价，包含但不限于人员、设备、材料等费用。项目价格按维修工时费下浮率和维修材料管理费率报价。</w:t>
      </w:r>
    </w:p>
    <w:p>
      <w:pPr>
        <w:tabs>
          <w:tab w:val="left" w:pos="720"/>
        </w:tabs>
        <w:spacing w:line="300" w:lineRule="auto"/>
        <w:ind w:firstLine="420" w:firstLineChars="200"/>
        <w:outlineLvl w:val="0"/>
        <w:rPr>
          <w:rFonts w:ascii="宋体" w:hAnsi="宋体" w:cs="宋体"/>
          <w:szCs w:val="21"/>
          <w:lang w:val="en-GB"/>
        </w:rPr>
      </w:pPr>
      <w:r>
        <w:rPr>
          <w:rFonts w:hint="eastAsia" w:ascii="宋体" w:hAnsi="宋体" w:cs="宋体"/>
          <w:szCs w:val="21"/>
          <w:lang w:val="en-GB"/>
        </w:rPr>
        <w:t>（</w:t>
      </w:r>
      <w:r>
        <w:rPr>
          <w:rFonts w:hint="eastAsia" w:ascii="宋体" w:hAnsi="宋体" w:cs="宋体"/>
          <w:szCs w:val="21"/>
        </w:rPr>
        <w:t>1</w:t>
      </w:r>
      <w:r>
        <w:rPr>
          <w:rFonts w:hint="eastAsia" w:ascii="宋体" w:hAnsi="宋体" w:cs="宋体"/>
          <w:szCs w:val="21"/>
          <w:lang w:val="en-GB"/>
        </w:rPr>
        <w:t>）维修工时费下浮率，即以《广州市公务车维修项目工时费明细表》</w:t>
      </w:r>
      <w:r>
        <w:rPr>
          <w:rFonts w:hint="eastAsia" w:ascii="宋体" w:hAnsi="宋体" w:cs="宋体"/>
          <w:b/>
          <w:bCs/>
          <w:szCs w:val="21"/>
          <w:lang w:val="en-GB"/>
        </w:rPr>
        <w:t>（见附件</w:t>
      </w:r>
      <w:r>
        <w:rPr>
          <w:rFonts w:hint="eastAsia" w:ascii="宋体" w:hAnsi="宋体" w:cs="宋体"/>
          <w:b/>
          <w:bCs/>
          <w:szCs w:val="21"/>
          <w:lang w:val="en-US" w:eastAsia="zh-CN"/>
        </w:rPr>
        <w:t>三</w:t>
      </w:r>
      <w:r>
        <w:rPr>
          <w:rFonts w:hint="eastAsia" w:ascii="宋体" w:hAnsi="宋体" w:cs="宋体"/>
          <w:b/>
          <w:bCs/>
          <w:szCs w:val="21"/>
          <w:lang w:val="en-GB"/>
        </w:rPr>
        <w:t>）</w:t>
      </w:r>
      <w:r>
        <w:rPr>
          <w:rFonts w:hint="eastAsia" w:ascii="宋体" w:hAnsi="宋体" w:cs="宋体"/>
          <w:szCs w:val="21"/>
          <w:lang w:val="en-GB"/>
        </w:rPr>
        <w:t>为基准，报出下浮率。</w:t>
      </w:r>
    </w:p>
    <w:p>
      <w:pPr>
        <w:tabs>
          <w:tab w:val="left" w:pos="720"/>
        </w:tabs>
        <w:spacing w:line="300" w:lineRule="auto"/>
        <w:ind w:firstLine="420" w:firstLineChars="200"/>
        <w:outlineLvl w:val="0"/>
        <w:rPr>
          <w:rFonts w:ascii="宋体" w:hAnsi="宋体" w:cs="宋体"/>
          <w:szCs w:val="21"/>
        </w:rPr>
      </w:pPr>
      <w:r>
        <w:rPr>
          <w:rFonts w:hint="eastAsia" w:ascii="宋体" w:hAnsi="宋体" w:cs="宋体"/>
          <w:szCs w:val="21"/>
          <w:lang w:val="en-GB"/>
        </w:rPr>
        <w:t>（</w:t>
      </w:r>
      <w:r>
        <w:rPr>
          <w:rFonts w:hint="eastAsia" w:ascii="宋体" w:hAnsi="宋体" w:cs="宋体"/>
          <w:szCs w:val="21"/>
        </w:rPr>
        <w:t>2</w:t>
      </w:r>
      <w:r>
        <w:rPr>
          <w:rFonts w:hint="eastAsia" w:ascii="宋体" w:hAnsi="宋体" w:cs="宋体"/>
          <w:szCs w:val="21"/>
          <w:lang w:val="en-GB"/>
        </w:rPr>
        <w:t>）维修材料管理费率：</w:t>
      </w:r>
      <w:r>
        <w:rPr>
          <w:rFonts w:hint="eastAsia" w:ascii="宋体" w:hAnsi="宋体" w:cs="宋体"/>
          <w:szCs w:val="21"/>
        </w:rPr>
        <w:t>维修材料管理费率是指材料实际购进价格（以进货发票为依据）和销售价格的差价与材料实际购进价格之比。</w:t>
      </w:r>
    </w:p>
    <w:p>
      <w:pPr>
        <w:tabs>
          <w:tab w:val="left" w:pos="720"/>
        </w:tabs>
        <w:spacing w:line="300" w:lineRule="auto"/>
        <w:ind w:firstLine="420" w:firstLineChars="200"/>
        <w:outlineLvl w:val="0"/>
        <w:rPr>
          <w:rFonts w:ascii="宋体" w:hAnsi="宋体" w:cs="宋体"/>
          <w:szCs w:val="21"/>
        </w:rPr>
      </w:pPr>
      <w:r>
        <w:rPr>
          <w:rFonts w:hint="eastAsia" w:ascii="宋体" w:hAnsi="宋体" w:cs="宋体"/>
          <w:szCs w:val="21"/>
          <w:lang w:val="en-GB"/>
        </w:rPr>
        <w:t>（</w:t>
      </w:r>
      <w:r>
        <w:rPr>
          <w:rFonts w:hint="eastAsia" w:ascii="宋体" w:hAnsi="宋体" w:cs="宋体"/>
          <w:szCs w:val="21"/>
        </w:rPr>
        <w:t>3</w:t>
      </w:r>
      <w:r>
        <w:rPr>
          <w:rFonts w:hint="eastAsia" w:ascii="宋体" w:hAnsi="宋体" w:cs="宋体"/>
          <w:szCs w:val="21"/>
          <w:lang w:val="en-GB"/>
        </w:rPr>
        <w:t>）维修工时费下浮率</w:t>
      </w:r>
      <w:r>
        <w:rPr>
          <w:rFonts w:hint="eastAsia" w:ascii="宋体" w:hAnsi="宋体" w:cs="宋体"/>
          <w:szCs w:val="21"/>
        </w:rPr>
        <w:t>与维修材料管理费率必须为固定的报价（如15%），不得存在区间值（如12～15%）。</w:t>
      </w:r>
    </w:p>
    <w:tbl>
      <w:tblPr>
        <w:tblStyle w:val="5"/>
        <w:tblpPr w:leftFromText="180" w:rightFromText="180" w:vertAnchor="text" w:tblpY="1"/>
        <w:tblOverlap w:val="never"/>
        <w:tblW w:w="5680" w:type="dxa"/>
        <w:tblInd w:w="93" w:type="dxa"/>
        <w:tblLayout w:type="autofit"/>
        <w:tblCellMar>
          <w:top w:w="0" w:type="dxa"/>
          <w:left w:w="108" w:type="dxa"/>
          <w:bottom w:w="0" w:type="dxa"/>
          <w:right w:w="108" w:type="dxa"/>
        </w:tblCellMar>
      </w:tblPr>
      <w:tblGrid>
        <w:gridCol w:w="1173"/>
        <w:gridCol w:w="2305"/>
        <w:gridCol w:w="2202"/>
      </w:tblGrid>
      <w:tr>
        <w:trPr>
          <w:trHeight w:val="675" w:hRule="atLeast"/>
        </w:trPr>
        <w:tc>
          <w:tcPr>
            <w:tcW w:w="5680" w:type="dxa"/>
            <w:gridSpan w:val="3"/>
            <w:tcBorders>
              <w:top w:val="nil"/>
              <w:left w:val="nil"/>
              <w:bottom w:val="single" w:color="auto" w:sz="4" w:space="0"/>
              <w:right w:val="nil"/>
            </w:tcBorders>
            <w:noWrap/>
            <w:vAlign w:val="center"/>
          </w:tcPr>
          <w:p>
            <w:pPr>
              <w:widowControl/>
              <w:jc w:val="left"/>
              <w:rPr>
                <w:rFonts w:ascii="宋体" w:hAnsi="宋体" w:cs="宋体"/>
                <w:color w:val="000000"/>
                <w:kern w:val="0"/>
                <w:sz w:val="22"/>
              </w:rPr>
            </w:pPr>
            <w:r>
              <w:rPr>
                <w:rFonts w:hint="eastAsia" w:ascii="宋体" w:hAnsi="宋体" w:cs="宋体"/>
                <w:color w:val="000000"/>
                <w:kern w:val="0"/>
                <w:sz w:val="22"/>
              </w:rPr>
              <w:t>包租一：救护车</w:t>
            </w:r>
          </w:p>
        </w:tc>
      </w:tr>
      <w:tr>
        <w:tblPrEx>
          <w:tblCellMar>
            <w:top w:w="0" w:type="dxa"/>
            <w:left w:w="108" w:type="dxa"/>
            <w:bottom w:w="0" w:type="dxa"/>
            <w:right w:w="108" w:type="dxa"/>
          </w:tblCellMar>
        </w:tblPrEx>
        <w:trPr>
          <w:trHeight w:val="600" w:hRule="atLeast"/>
        </w:trPr>
        <w:tc>
          <w:tcPr>
            <w:tcW w:w="1173" w:type="dxa"/>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color w:val="000000"/>
                <w:kern w:val="0"/>
                <w:sz w:val="22"/>
              </w:rPr>
            </w:pPr>
            <w:r>
              <w:rPr>
                <w:rFonts w:hint="eastAsia" w:ascii="宋体" w:hAnsi="宋体" w:cs="宋体"/>
                <w:color w:val="000000"/>
                <w:kern w:val="0"/>
                <w:sz w:val="22"/>
              </w:rPr>
              <w:t>维修总价</w:t>
            </w:r>
          </w:p>
        </w:tc>
        <w:tc>
          <w:tcPr>
            <w:tcW w:w="2305"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rPr>
            </w:pPr>
            <w:r>
              <w:rPr>
                <w:rFonts w:hint="eastAsia" w:ascii="宋体" w:hAnsi="宋体" w:cs="宋体"/>
                <w:color w:val="000000"/>
                <w:kern w:val="0"/>
                <w:sz w:val="22"/>
              </w:rPr>
              <w:t>维修工时费下浮率</w:t>
            </w:r>
          </w:p>
        </w:tc>
        <w:tc>
          <w:tcPr>
            <w:tcW w:w="2202"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维修材料管理费率</w:t>
            </w:r>
          </w:p>
        </w:tc>
      </w:tr>
      <w:tr>
        <w:tblPrEx>
          <w:tblCellMar>
            <w:top w:w="0" w:type="dxa"/>
            <w:left w:w="108" w:type="dxa"/>
            <w:bottom w:w="0" w:type="dxa"/>
            <w:right w:w="108" w:type="dxa"/>
          </w:tblCellMar>
        </w:tblPrEx>
        <w:trPr>
          <w:trHeight w:val="600" w:hRule="atLeast"/>
        </w:trPr>
        <w:tc>
          <w:tcPr>
            <w:tcW w:w="1173" w:type="dxa"/>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2305"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2202"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r>
      <w:tr>
        <w:tblPrEx>
          <w:tblCellMar>
            <w:top w:w="0" w:type="dxa"/>
            <w:left w:w="108" w:type="dxa"/>
            <w:bottom w:w="0" w:type="dxa"/>
            <w:right w:w="108" w:type="dxa"/>
          </w:tblCellMar>
        </w:tblPrEx>
        <w:trPr>
          <w:trHeight w:val="600" w:hRule="atLeast"/>
        </w:trPr>
        <w:tc>
          <w:tcPr>
            <w:tcW w:w="5680" w:type="dxa"/>
            <w:gridSpan w:val="3"/>
            <w:tcBorders>
              <w:top w:val="nil"/>
              <w:left w:val="nil"/>
              <w:bottom w:val="single" w:color="auto" w:sz="4" w:space="0"/>
              <w:right w:val="nil"/>
            </w:tcBorders>
            <w:noWrap/>
            <w:vAlign w:val="center"/>
          </w:tcPr>
          <w:p>
            <w:pPr>
              <w:widowControl/>
              <w:jc w:val="left"/>
              <w:rPr>
                <w:rFonts w:ascii="宋体" w:hAnsi="宋体" w:cs="宋体"/>
                <w:color w:val="000000"/>
                <w:kern w:val="0"/>
                <w:sz w:val="22"/>
              </w:rPr>
            </w:pPr>
            <w:r>
              <w:rPr>
                <w:rFonts w:hint="eastAsia" w:ascii="宋体" w:hAnsi="宋体" w:cs="宋体"/>
                <w:color w:val="000000"/>
                <w:kern w:val="0"/>
                <w:sz w:val="22"/>
              </w:rPr>
              <w:t>包租二：行政车</w:t>
            </w:r>
          </w:p>
        </w:tc>
      </w:tr>
      <w:tr>
        <w:tblPrEx>
          <w:tblCellMar>
            <w:top w:w="0" w:type="dxa"/>
            <w:left w:w="108" w:type="dxa"/>
            <w:bottom w:w="0" w:type="dxa"/>
            <w:right w:w="108" w:type="dxa"/>
          </w:tblCellMar>
        </w:tblPrEx>
        <w:trPr>
          <w:trHeight w:val="600" w:hRule="atLeast"/>
        </w:trPr>
        <w:tc>
          <w:tcPr>
            <w:tcW w:w="1173" w:type="dxa"/>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color w:val="000000"/>
                <w:kern w:val="0"/>
                <w:sz w:val="22"/>
              </w:rPr>
            </w:pPr>
            <w:r>
              <w:rPr>
                <w:rFonts w:hint="eastAsia" w:ascii="宋体" w:hAnsi="宋体" w:cs="宋体"/>
                <w:color w:val="000000"/>
                <w:kern w:val="0"/>
                <w:sz w:val="22"/>
              </w:rPr>
              <w:t>维修总价</w:t>
            </w:r>
          </w:p>
        </w:tc>
        <w:tc>
          <w:tcPr>
            <w:tcW w:w="2305"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rPr>
            </w:pPr>
            <w:r>
              <w:rPr>
                <w:rFonts w:hint="eastAsia" w:ascii="宋体" w:hAnsi="宋体" w:cs="宋体"/>
                <w:color w:val="000000"/>
                <w:kern w:val="0"/>
                <w:sz w:val="22"/>
              </w:rPr>
              <w:t>维修工时费下浮率</w:t>
            </w:r>
          </w:p>
        </w:tc>
        <w:tc>
          <w:tcPr>
            <w:tcW w:w="2202"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维修材料管理费率</w:t>
            </w:r>
          </w:p>
        </w:tc>
      </w:tr>
      <w:tr>
        <w:tblPrEx>
          <w:tblCellMar>
            <w:top w:w="0" w:type="dxa"/>
            <w:left w:w="108" w:type="dxa"/>
            <w:bottom w:w="0" w:type="dxa"/>
            <w:right w:w="108" w:type="dxa"/>
          </w:tblCellMar>
        </w:tblPrEx>
        <w:trPr>
          <w:trHeight w:val="600" w:hRule="atLeast"/>
        </w:trPr>
        <w:tc>
          <w:tcPr>
            <w:tcW w:w="1173" w:type="dxa"/>
            <w:tcBorders>
              <w:top w:val="nil"/>
              <w:left w:val="single" w:color="auto" w:sz="4" w:space="0"/>
              <w:bottom w:val="single" w:color="auto" w:sz="4" w:space="0"/>
              <w:right w:val="single" w:color="auto" w:sz="4" w:space="0"/>
            </w:tcBorders>
            <w:noWrap/>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2305"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c>
          <w:tcPr>
            <w:tcW w:w="2202" w:type="dxa"/>
            <w:tcBorders>
              <w:top w:val="nil"/>
              <w:left w:val="nil"/>
              <w:bottom w:val="single" w:color="auto" w:sz="4" w:space="0"/>
              <w:right w:val="single" w:color="auto" w:sz="4" w:space="0"/>
            </w:tcBorders>
            <w:noWrap/>
            <w:vAlign w:val="center"/>
          </w:tcPr>
          <w:p>
            <w:pPr>
              <w:widowControl/>
              <w:jc w:val="center"/>
              <w:rPr>
                <w:rFonts w:ascii="宋体" w:hAnsi="宋体" w:cs="宋体"/>
                <w:color w:val="000000"/>
                <w:kern w:val="0"/>
                <w:sz w:val="22"/>
              </w:rPr>
            </w:pPr>
            <w:r>
              <w:rPr>
                <w:rFonts w:hint="eastAsia" w:ascii="宋体" w:hAnsi="宋体" w:cs="宋体"/>
                <w:color w:val="000000"/>
                <w:kern w:val="0"/>
                <w:sz w:val="22"/>
              </w:rPr>
              <w:t>　</w:t>
            </w:r>
          </w:p>
        </w:tc>
      </w:tr>
    </w:tbl>
    <w:p>
      <w:pPr>
        <w:tabs>
          <w:tab w:val="left" w:pos="720"/>
        </w:tabs>
        <w:spacing w:line="300" w:lineRule="auto"/>
        <w:ind w:firstLine="210" w:firstLineChars="100"/>
        <w:outlineLvl w:val="0"/>
        <w:rPr>
          <w:rFonts w:ascii="宋体" w:hAnsi="宋体" w:cs="宋体"/>
          <w:szCs w:val="21"/>
          <w:lang w:val="en-GB"/>
        </w:rPr>
      </w:pPr>
      <w:r>
        <w:rPr>
          <w:rFonts w:ascii="宋体" w:hAnsi="宋体" w:cs="宋体"/>
          <w:szCs w:val="21"/>
          <w:lang w:val="en-GB"/>
        </w:rPr>
        <w:br w:type="textWrapping" w:clear="all"/>
      </w:r>
      <w:r>
        <w:rPr>
          <w:rFonts w:hint="eastAsia" w:ascii="宋体" w:hAnsi="宋体" w:cs="宋体"/>
          <w:szCs w:val="21"/>
          <w:lang w:val="en-GB"/>
        </w:rPr>
        <w:t>2.结算要求：服务商严格按照国家、地方部门及行业规定完成服务，采购人每季度据实向服务商结算服务费。服务商凭双方签字的故障问题及维修完成材料办理结算手续，采购人在</w:t>
      </w:r>
      <w:r>
        <w:rPr>
          <w:rFonts w:hint="eastAsia" w:ascii="宋体" w:hAnsi="宋体" w:cs="宋体"/>
          <w:szCs w:val="21"/>
        </w:rPr>
        <w:t>25</w:t>
      </w:r>
      <w:r>
        <w:rPr>
          <w:rFonts w:hint="eastAsia" w:ascii="宋体" w:hAnsi="宋体" w:cs="宋体"/>
          <w:szCs w:val="21"/>
          <w:lang w:val="en-GB"/>
        </w:rPr>
        <w:t>个工作日内向服务商支付服务费。服务商需在收款前向采购人出具正规发票（普通发票即可）。</w:t>
      </w:r>
    </w:p>
    <w:p>
      <w:pPr>
        <w:tabs>
          <w:tab w:val="left" w:pos="720"/>
        </w:tabs>
        <w:spacing w:line="300" w:lineRule="auto"/>
        <w:ind w:firstLine="420" w:firstLineChars="200"/>
        <w:outlineLvl w:val="0"/>
        <w:rPr>
          <w:rFonts w:ascii="宋体" w:hAnsi="宋体" w:cs="宋体"/>
          <w:szCs w:val="21"/>
          <w:lang w:val="en-GB"/>
        </w:rPr>
      </w:pPr>
      <w:r>
        <w:rPr>
          <w:rFonts w:hint="eastAsia" w:ascii="宋体" w:hAnsi="宋体" w:cs="宋体"/>
          <w:szCs w:val="21"/>
          <w:lang w:val="en-GB"/>
        </w:rPr>
        <w:t>费用计算：维修费总金额＝维修项目工时费＋维修材料费</w:t>
      </w:r>
    </w:p>
    <w:p>
      <w:pPr>
        <w:tabs>
          <w:tab w:val="left" w:pos="720"/>
        </w:tabs>
        <w:spacing w:line="300" w:lineRule="auto"/>
        <w:ind w:firstLine="420" w:firstLineChars="200"/>
        <w:outlineLvl w:val="0"/>
        <w:rPr>
          <w:rFonts w:ascii="宋体" w:hAnsi="宋体" w:cs="宋体"/>
          <w:szCs w:val="21"/>
          <w:lang w:val="en-GB"/>
        </w:rPr>
      </w:pPr>
      <w:r>
        <w:rPr>
          <w:rFonts w:hint="eastAsia" w:ascii="宋体" w:hAnsi="宋体" w:cs="宋体"/>
          <w:szCs w:val="21"/>
          <w:lang w:val="en-GB"/>
        </w:rPr>
        <w:t>（</w:t>
      </w:r>
      <w:r>
        <w:rPr>
          <w:rFonts w:hint="eastAsia" w:ascii="宋体" w:hAnsi="宋体" w:cs="宋体"/>
          <w:szCs w:val="21"/>
        </w:rPr>
        <w:t>1</w:t>
      </w:r>
      <w:r>
        <w:rPr>
          <w:rFonts w:hint="eastAsia" w:ascii="宋体" w:hAnsi="宋体" w:cs="宋体"/>
          <w:szCs w:val="21"/>
          <w:lang w:val="en-GB"/>
        </w:rPr>
        <w:t>）维修项目工时费＝维修项目工时费收费标准×（1－维修工时费下浮率）</w:t>
      </w:r>
    </w:p>
    <w:p>
      <w:pPr>
        <w:tabs>
          <w:tab w:val="left" w:pos="720"/>
        </w:tabs>
        <w:spacing w:line="300" w:lineRule="auto"/>
        <w:ind w:firstLine="420" w:firstLineChars="200"/>
        <w:outlineLvl w:val="0"/>
        <w:rPr>
          <w:rFonts w:ascii="宋体" w:hAnsi="宋体" w:cs="宋体"/>
          <w:szCs w:val="21"/>
          <w:lang w:val="en-GB"/>
        </w:rPr>
      </w:pPr>
      <w:r>
        <w:rPr>
          <w:rFonts w:hint="eastAsia" w:ascii="宋体" w:hAnsi="宋体" w:cs="宋体"/>
          <w:szCs w:val="21"/>
          <w:lang w:val="en-GB"/>
        </w:rPr>
        <w:t>（</w:t>
      </w:r>
      <w:r>
        <w:rPr>
          <w:rFonts w:hint="eastAsia" w:ascii="宋体" w:hAnsi="宋体" w:cs="宋体"/>
          <w:szCs w:val="21"/>
        </w:rPr>
        <w:t>2</w:t>
      </w:r>
      <w:r>
        <w:rPr>
          <w:rFonts w:hint="eastAsia" w:ascii="宋体" w:hAnsi="宋体" w:cs="宋体"/>
          <w:szCs w:val="21"/>
          <w:lang w:val="en-GB"/>
        </w:rPr>
        <w:t>）维修材料费＝</w:t>
      </w:r>
      <w:r>
        <w:rPr>
          <w:rFonts w:hint="eastAsia" w:ascii="宋体" w:hAnsi="宋体" w:cs="宋体"/>
          <w:szCs w:val="21"/>
        </w:rPr>
        <w:t>材料实际购进价格（以进货发票为依据）</w:t>
      </w:r>
      <w:r>
        <w:rPr>
          <w:rFonts w:hint="eastAsia" w:ascii="宋体" w:hAnsi="宋体" w:cs="宋体"/>
          <w:szCs w:val="21"/>
          <w:lang w:val="en-GB"/>
        </w:rPr>
        <w:t>×（1＋维修材料管理费率）</w:t>
      </w:r>
    </w:p>
    <w:p>
      <w:pPr>
        <w:tabs>
          <w:tab w:val="left" w:pos="720"/>
        </w:tabs>
        <w:spacing w:line="300" w:lineRule="auto"/>
        <w:ind w:firstLine="420" w:firstLineChars="200"/>
        <w:outlineLvl w:val="0"/>
        <w:rPr>
          <w:lang w:val="en-GB"/>
        </w:rPr>
      </w:pPr>
      <w:r>
        <w:rPr>
          <w:rFonts w:hint="eastAsia" w:ascii="宋体" w:hAnsi="宋体" w:cs="宋体"/>
          <w:szCs w:val="21"/>
          <w:lang w:val="en-GB"/>
        </w:rPr>
        <w:t>（</w:t>
      </w:r>
      <w:r>
        <w:rPr>
          <w:rFonts w:hint="eastAsia" w:ascii="宋体" w:hAnsi="宋体" w:cs="宋体"/>
          <w:szCs w:val="21"/>
        </w:rPr>
        <w:t>3</w:t>
      </w:r>
      <w:r>
        <w:rPr>
          <w:rFonts w:hint="eastAsia" w:ascii="宋体" w:hAnsi="宋体" w:cs="宋体"/>
          <w:szCs w:val="21"/>
          <w:lang w:val="en-GB"/>
        </w:rPr>
        <w:t>）其他说明：当没有相应标准的车型时，结算时按相近的车型计算；无相应标准的特殊结构作业项目以及在交通事故中损坏较严重的车辆，维修费用按保险公司标准或经采购人鉴定后的费用进行计算。</w:t>
      </w:r>
    </w:p>
    <w:p>
      <w:pPr>
        <w:tabs>
          <w:tab w:val="left" w:pos="720"/>
        </w:tabs>
        <w:spacing w:line="300" w:lineRule="auto"/>
        <w:ind w:firstLine="420" w:firstLineChars="200"/>
        <w:outlineLvl w:val="0"/>
        <w:rPr>
          <w:rFonts w:hint="eastAsia" w:ascii="宋体" w:hAnsi="宋体" w:cs="宋体"/>
          <w:szCs w:val="21"/>
          <w:lang w:val="en-GB"/>
        </w:rPr>
      </w:pPr>
      <w:r>
        <w:rPr>
          <w:rFonts w:hint="eastAsia" w:ascii="宋体" w:hAnsi="宋体" w:cs="宋体"/>
          <w:szCs w:val="21"/>
          <w:lang w:val="en-GB"/>
        </w:rPr>
        <w:t>3.服务期限：</w:t>
      </w:r>
      <w:r>
        <w:rPr>
          <w:rFonts w:hint="eastAsia" w:ascii="宋体" w:hAnsi="宋体" w:cs="宋体"/>
          <w:szCs w:val="21"/>
          <w:lang w:val="en-GB" w:eastAsia="zh-CN"/>
        </w:rPr>
        <w:t>一</w:t>
      </w:r>
      <w:r>
        <w:rPr>
          <w:rFonts w:hint="eastAsia" w:ascii="宋体" w:hAnsi="宋体" w:cs="宋体"/>
          <w:szCs w:val="21"/>
          <w:lang w:val="en-GB"/>
        </w:rPr>
        <w:t>年，自合同签订之日起计算。</w:t>
      </w:r>
    </w:p>
    <w:p>
      <w:pPr>
        <w:tabs>
          <w:tab w:val="left" w:pos="720"/>
        </w:tabs>
        <w:spacing w:line="300" w:lineRule="auto"/>
        <w:ind w:firstLine="420" w:firstLineChars="200"/>
        <w:outlineLvl w:val="0"/>
        <w:rPr>
          <w:rFonts w:ascii="宋体" w:hAnsi="宋体" w:cs="宋体"/>
          <w:szCs w:val="21"/>
          <w:lang w:val="en-GB"/>
        </w:rPr>
      </w:pPr>
      <w:r>
        <w:rPr>
          <w:rFonts w:hint="eastAsia" w:ascii="宋体" w:hAnsi="宋体" w:cs="宋体"/>
          <w:szCs w:val="21"/>
          <w:lang w:val="en-GB"/>
        </w:rPr>
        <w:t>4.履约保证金</w:t>
      </w:r>
    </w:p>
    <w:p>
      <w:pPr>
        <w:spacing w:line="360" w:lineRule="auto"/>
        <w:ind w:firstLine="210" w:firstLineChars="100"/>
      </w:pPr>
      <w:r>
        <w:rPr>
          <w:rFonts w:hint="eastAsia" w:ascii="宋体" w:hAnsi="宋体" w:cs="宋体"/>
          <w:szCs w:val="21"/>
        </w:rPr>
        <w:t>（1）</w:t>
      </w:r>
      <w:r>
        <w:rPr>
          <w:rFonts w:hint="eastAsia" w:ascii="宋体" w:hAnsi="宋体" w:cs="宋体"/>
          <w:szCs w:val="21"/>
          <w:lang w:val="en-GB"/>
        </w:rPr>
        <w:t>成交</w:t>
      </w:r>
      <w:r>
        <w:rPr>
          <w:rFonts w:hint="eastAsia"/>
          <w:lang w:val="en-GB"/>
        </w:rPr>
        <w:t>服务商须在合同签订后</w:t>
      </w:r>
      <w:r>
        <w:rPr>
          <w:rFonts w:hint="eastAsia"/>
        </w:rPr>
        <w:t xml:space="preserve">5个工作日内缴纳合同金额的3%为履约保证金；项目完成，无质量问题且双方无异议后，采购人在20个工作日内无息返还。 </w:t>
      </w:r>
    </w:p>
    <w:p>
      <w:pPr>
        <w:tabs>
          <w:tab w:val="left" w:pos="720"/>
        </w:tabs>
        <w:spacing w:line="360" w:lineRule="auto"/>
        <w:ind w:firstLine="210" w:firstLineChars="100"/>
        <w:rPr>
          <w:lang w:val="en-GB"/>
        </w:rPr>
      </w:pPr>
      <w:r>
        <w:rPr>
          <w:rFonts w:hint="eastAsia" w:ascii="宋体" w:hAnsi="宋体" w:cs="宋体"/>
          <w:szCs w:val="21"/>
        </w:rPr>
        <w:t>（2）供应</w:t>
      </w:r>
      <w:r>
        <w:rPr>
          <w:rFonts w:hint="eastAsia"/>
        </w:rPr>
        <w:t>商/服务商未在约定时间内完成交付/服务的，每延期一天，采购人有权按合同金额的3‰扣罚（据实结算项目按已发生金额的3‰扣罚），扣罚金额从履约保证金中直接扣除。履约保证金额不足的，</w:t>
      </w:r>
      <w:r>
        <w:rPr>
          <w:rFonts w:hint="eastAsia" w:ascii="宋体" w:hAnsi="宋体" w:cs="宋体"/>
          <w:szCs w:val="21"/>
        </w:rPr>
        <w:t>供应</w:t>
      </w:r>
      <w:r>
        <w:rPr>
          <w:rFonts w:hint="eastAsia"/>
        </w:rPr>
        <w:t>商/服务商须在5个工作日内补足。</w:t>
      </w:r>
    </w:p>
    <w:p>
      <w:pPr>
        <w:tabs>
          <w:tab w:val="left" w:pos="720"/>
        </w:tabs>
        <w:spacing w:line="300" w:lineRule="auto"/>
        <w:ind w:firstLine="420" w:firstLineChars="200"/>
        <w:outlineLvl w:val="0"/>
        <w:rPr>
          <w:rFonts w:ascii="宋体" w:hAnsi="宋体" w:cs="宋体"/>
          <w:szCs w:val="21"/>
          <w:lang w:val="en-GB"/>
        </w:rPr>
      </w:pPr>
      <w:r>
        <w:rPr>
          <w:rFonts w:hint="eastAsia" w:ascii="宋体" w:hAnsi="宋体" w:cs="宋体"/>
          <w:szCs w:val="21"/>
        </w:rPr>
        <w:t>5.</w:t>
      </w:r>
      <w:r>
        <w:rPr>
          <w:rFonts w:hint="eastAsia" w:ascii="宋体" w:hAnsi="宋体"/>
          <w:szCs w:val="21"/>
        </w:rPr>
        <w:t>服务商充分理解并接受合同条款。</w:t>
      </w:r>
    </w:p>
    <w:p>
      <w:pPr>
        <w:tabs>
          <w:tab w:val="left" w:pos="720"/>
        </w:tabs>
        <w:spacing w:line="300" w:lineRule="auto"/>
        <w:ind w:firstLine="422" w:firstLineChars="200"/>
        <w:outlineLvl w:val="0"/>
        <w:rPr>
          <w:rFonts w:ascii="宋体" w:hAnsi="宋体" w:cs="Arial"/>
          <w:b/>
          <w:szCs w:val="21"/>
        </w:rPr>
      </w:pPr>
      <w:r>
        <w:rPr>
          <w:rFonts w:hint="eastAsia" w:ascii="宋体" w:hAnsi="宋体" w:cs="Arial"/>
          <w:b/>
          <w:szCs w:val="21"/>
        </w:rPr>
        <w:t>二、服务要求</w:t>
      </w:r>
    </w:p>
    <w:p>
      <w:pPr>
        <w:spacing w:line="300" w:lineRule="auto"/>
        <w:ind w:firstLine="422" w:firstLineChars="200"/>
        <w:rPr>
          <w:b/>
          <w:bCs/>
        </w:rPr>
      </w:pPr>
      <w:r>
        <w:rPr>
          <w:rFonts w:hint="eastAsia"/>
          <w:b/>
          <w:bCs/>
        </w:rPr>
        <w:t>项目名称：车辆维修服务</w:t>
      </w:r>
    </w:p>
    <w:p>
      <w:pPr>
        <w:spacing w:line="300" w:lineRule="auto"/>
        <w:ind w:firstLine="420" w:firstLineChars="200"/>
        <w:rPr>
          <w:rFonts w:ascii="Calibri" w:hAnsi="Calibri"/>
        </w:rPr>
      </w:pPr>
      <w:r>
        <w:rPr>
          <w:rFonts w:hint="eastAsia" w:ascii="Calibri" w:hAnsi="Calibri"/>
        </w:rPr>
        <w:t>1.服务内容</w:t>
      </w:r>
    </w:p>
    <w:p>
      <w:pPr>
        <w:spacing w:line="300" w:lineRule="auto"/>
        <w:ind w:firstLine="420" w:firstLineChars="200"/>
        <w:rPr>
          <w:rFonts w:ascii="Calibri" w:hAnsi="Calibri"/>
        </w:rPr>
      </w:pPr>
      <w:r>
        <w:rPr>
          <w:rFonts w:hint="eastAsia" w:ascii="Calibri" w:hAnsi="Calibri"/>
        </w:rPr>
        <w:t>（1）负责采购人车辆的一、二级保养，小修、中修、大修、整车修理、总成修理、整车维护，维修救援、代办年审、维修车辆送场、出场。</w:t>
      </w:r>
    </w:p>
    <w:p>
      <w:pPr>
        <w:spacing w:line="300" w:lineRule="auto"/>
        <w:ind w:firstLine="420" w:firstLineChars="200"/>
        <w:rPr>
          <w:rFonts w:ascii="Calibri" w:hAnsi="Calibri"/>
        </w:rPr>
      </w:pPr>
      <w:r>
        <w:rPr>
          <w:rFonts w:hint="eastAsia" w:ascii="Calibri" w:hAnsi="Calibri"/>
        </w:rPr>
        <w:t>（2）按实际公里数或保养周期（6个月）对车辆定期进行保养。</w:t>
      </w:r>
    </w:p>
    <w:p>
      <w:pPr>
        <w:ind w:firstLine="420" w:firstLineChars="200"/>
      </w:pPr>
      <w:r>
        <w:rPr>
          <w:rFonts w:hint="eastAsia"/>
        </w:rPr>
        <w:t>（3）车辆概况：车辆共29台，其中珠江院区17台，儿童院区12台，详情如下：</w:t>
      </w:r>
    </w:p>
    <w:p/>
    <w:p>
      <w:pPr>
        <w:rPr>
          <w:rFonts w:ascii="宋体" w:hAnsi="宋体"/>
          <w:bCs/>
          <w:kern w:val="44"/>
          <w:szCs w:val="21"/>
        </w:rPr>
      </w:pPr>
      <w:r>
        <w:rPr>
          <w:rFonts w:hint="eastAsia" w:ascii="宋体" w:hAnsi="宋体"/>
          <w:bCs/>
          <w:kern w:val="44"/>
          <w:szCs w:val="21"/>
        </w:rPr>
        <w:t>行政车：</w:t>
      </w:r>
    </w:p>
    <w:tbl>
      <w:tblPr>
        <w:tblStyle w:val="5"/>
        <w:tblpPr w:leftFromText="180" w:rightFromText="180" w:vertAnchor="text" w:horzAnchor="page" w:tblpX="1708" w:tblpY="874"/>
        <w:tblOverlap w:val="never"/>
        <w:tblW w:w="9595" w:type="dxa"/>
        <w:tblInd w:w="0" w:type="dxa"/>
        <w:tblLayout w:type="fixed"/>
        <w:tblCellMar>
          <w:top w:w="0" w:type="dxa"/>
          <w:left w:w="108" w:type="dxa"/>
          <w:bottom w:w="0" w:type="dxa"/>
          <w:right w:w="108" w:type="dxa"/>
        </w:tblCellMar>
      </w:tblPr>
      <w:tblGrid>
        <w:gridCol w:w="563"/>
        <w:gridCol w:w="1337"/>
        <w:gridCol w:w="2316"/>
        <w:gridCol w:w="1531"/>
        <w:gridCol w:w="1844"/>
        <w:gridCol w:w="1073"/>
        <w:gridCol w:w="931"/>
      </w:tblGrid>
      <w:tr>
        <w:tblPrEx>
          <w:tblCellMar>
            <w:top w:w="0" w:type="dxa"/>
            <w:left w:w="108" w:type="dxa"/>
            <w:bottom w:w="0" w:type="dxa"/>
            <w:right w:w="108" w:type="dxa"/>
          </w:tblCellMar>
        </w:tblPrEx>
        <w:trPr>
          <w:trHeight w:val="2429" w:hRule="atLeast"/>
        </w:trPr>
        <w:tc>
          <w:tcPr>
            <w:tcW w:w="563"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序号</w:t>
            </w:r>
          </w:p>
        </w:tc>
        <w:tc>
          <w:tcPr>
            <w:tcW w:w="1337" w:type="dxa"/>
            <w:tcBorders>
              <w:top w:val="single" w:color="auto" w:sz="4" w:space="0"/>
              <w:left w:val="nil"/>
              <w:bottom w:val="single" w:color="auto" w:sz="4" w:space="0"/>
              <w:right w:val="single" w:color="auto" w:sz="4" w:space="0"/>
            </w:tcBorders>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车牌号</w:t>
            </w:r>
          </w:p>
        </w:tc>
        <w:tc>
          <w:tcPr>
            <w:tcW w:w="2316"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车型</w:t>
            </w:r>
          </w:p>
        </w:tc>
        <w:tc>
          <w:tcPr>
            <w:tcW w:w="1531" w:type="dxa"/>
            <w:tcBorders>
              <w:top w:val="single" w:color="auto" w:sz="4" w:space="0"/>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车辆类型</w:t>
            </w:r>
          </w:p>
        </w:tc>
        <w:tc>
          <w:tcPr>
            <w:tcW w:w="1844" w:type="dxa"/>
            <w:tcBorders>
              <w:top w:val="single" w:color="auto" w:sz="4" w:space="0"/>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使用日期</w:t>
            </w:r>
          </w:p>
        </w:tc>
        <w:tc>
          <w:tcPr>
            <w:tcW w:w="1073" w:type="dxa"/>
            <w:tcBorders>
              <w:top w:val="single" w:color="auto" w:sz="4" w:space="0"/>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排量</w:t>
            </w:r>
          </w:p>
        </w:tc>
        <w:tc>
          <w:tcPr>
            <w:tcW w:w="931"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燃油种类</w:t>
            </w:r>
          </w:p>
        </w:tc>
      </w:tr>
      <w:tr>
        <w:tblPrEx>
          <w:tblCellMar>
            <w:top w:w="0" w:type="dxa"/>
            <w:left w:w="108" w:type="dxa"/>
            <w:bottom w:w="0" w:type="dxa"/>
            <w:right w:w="108" w:type="dxa"/>
          </w:tblCellMar>
        </w:tblPrEx>
        <w:trPr>
          <w:trHeight w:val="1220" w:hRule="atLeast"/>
        </w:trPr>
        <w:tc>
          <w:tcPr>
            <w:tcW w:w="56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1</w:t>
            </w:r>
          </w:p>
        </w:tc>
        <w:tc>
          <w:tcPr>
            <w:tcW w:w="133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粤A002HR</w:t>
            </w:r>
          </w:p>
        </w:tc>
        <w:tc>
          <w:tcPr>
            <w:tcW w:w="2316" w:type="dxa"/>
            <w:tcBorders>
              <w:top w:val="nil"/>
              <w:left w:val="nil"/>
              <w:bottom w:val="single" w:color="auto" w:sz="4" w:space="0"/>
              <w:right w:val="single" w:color="auto" w:sz="4" w:space="0"/>
            </w:tcBorders>
            <w:shd w:val="clear" w:color="000000" w:fill="FFFFFF"/>
            <w:noWrap/>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奥德赛HG6481BAA</w:t>
            </w:r>
          </w:p>
        </w:tc>
        <w:tc>
          <w:tcPr>
            <w:tcW w:w="1531"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小型普通客车</w:t>
            </w:r>
          </w:p>
        </w:tc>
        <w:tc>
          <w:tcPr>
            <w:tcW w:w="184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2010/6/7</w:t>
            </w:r>
          </w:p>
        </w:tc>
        <w:tc>
          <w:tcPr>
            <w:tcW w:w="107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cs="宋体"/>
                <w:kern w:val="0"/>
                <w:sz w:val="28"/>
                <w:szCs w:val="28"/>
              </w:rPr>
            </w:pPr>
            <w:r>
              <w:rPr>
                <w:rFonts w:hint="eastAsia" w:ascii="宋体" w:hAnsi="宋体" w:cs="宋体"/>
                <w:kern w:val="0"/>
                <w:sz w:val="28"/>
                <w:szCs w:val="28"/>
              </w:rPr>
              <w:t>2.35L</w:t>
            </w:r>
          </w:p>
        </w:tc>
        <w:tc>
          <w:tcPr>
            <w:tcW w:w="93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汽油</w:t>
            </w:r>
          </w:p>
        </w:tc>
      </w:tr>
      <w:tr>
        <w:tblPrEx>
          <w:tblCellMar>
            <w:top w:w="0" w:type="dxa"/>
            <w:left w:w="108" w:type="dxa"/>
            <w:bottom w:w="0" w:type="dxa"/>
            <w:right w:w="108" w:type="dxa"/>
          </w:tblCellMar>
        </w:tblPrEx>
        <w:trPr>
          <w:trHeight w:val="1220" w:hRule="atLeast"/>
        </w:trPr>
        <w:tc>
          <w:tcPr>
            <w:tcW w:w="56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2</w:t>
            </w:r>
          </w:p>
        </w:tc>
        <w:tc>
          <w:tcPr>
            <w:tcW w:w="133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粤AE1L17</w:t>
            </w:r>
          </w:p>
        </w:tc>
        <w:tc>
          <w:tcPr>
            <w:tcW w:w="2316" w:type="dxa"/>
            <w:tcBorders>
              <w:top w:val="nil"/>
              <w:left w:val="nil"/>
              <w:bottom w:val="single" w:color="auto" w:sz="4" w:space="0"/>
              <w:right w:val="single" w:color="auto" w:sz="4" w:space="0"/>
            </w:tcBorders>
            <w:shd w:val="clear" w:color="000000" w:fill="FFFFFF"/>
            <w:noWrap/>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奥德赛HG6481BAA</w:t>
            </w:r>
          </w:p>
        </w:tc>
        <w:tc>
          <w:tcPr>
            <w:tcW w:w="1531"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小型普通客车</w:t>
            </w:r>
          </w:p>
        </w:tc>
        <w:tc>
          <w:tcPr>
            <w:tcW w:w="184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2011/8/2</w:t>
            </w:r>
          </w:p>
        </w:tc>
        <w:tc>
          <w:tcPr>
            <w:tcW w:w="107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cs="宋体"/>
                <w:kern w:val="0"/>
                <w:sz w:val="28"/>
                <w:szCs w:val="28"/>
              </w:rPr>
            </w:pPr>
            <w:r>
              <w:rPr>
                <w:rFonts w:hint="eastAsia" w:ascii="宋体" w:hAnsi="宋体" w:cs="宋体"/>
                <w:kern w:val="0"/>
                <w:sz w:val="28"/>
                <w:szCs w:val="28"/>
              </w:rPr>
              <w:t>2.35L</w:t>
            </w:r>
          </w:p>
        </w:tc>
        <w:tc>
          <w:tcPr>
            <w:tcW w:w="93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汽油</w:t>
            </w:r>
          </w:p>
        </w:tc>
      </w:tr>
      <w:tr>
        <w:tblPrEx>
          <w:tblCellMar>
            <w:top w:w="0" w:type="dxa"/>
            <w:left w:w="108" w:type="dxa"/>
            <w:bottom w:w="0" w:type="dxa"/>
            <w:right w:w="108" w:type="dxa"/>
          </w:tblCellMar>
        </w:tblPrEx>
        <w:trPr>
          <w:trHeight w:val="1220" w:hRule="atLeast"/>
        </w:trPr>
        <w:tc>
          <w:tcPr>
            <w:tcW w:w="56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3</w:t>
            </w:r>
          </w:p>
        </w:tc>
        <w:tc>
          <w:tcPr>
            <w:tcW w:w="133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粤A402GV</w:t>
            </w:r>
          </w:p>
        </w:tc>
        <w:tc>
          <w:tcPr>
            <w:tcW w:w="2316"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金杯SY6483L2</w:t>
            </w:r>
          </w:p>
        </w:tc>
        <w:tc>
          <w:tcPr>
            <w:tcW w:w="1531"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小型普通客车</w:t>
            </w:r>
          </w:p>
        </w:tc>
        <w:tc>
          <w:tcPr>
            <w:tcW w:w="184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2010/4/29</w:t>
            </w:r>
          </w:p>
        </w:tc>
        <w:tc>
          <w:tcPr>
            <w:tcW w:w="107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cs="宋体"/>
                <w:kern w:val="0"/>
                <w:sz w:val="28"/>
                <w:szCs w:val="28"/>
              </w:rPr>
            </w:pPr>
            <w:r>
              <w:rPr>
                <w:rFonts w:hint="eastAsia" w:ascii="宋体" w:hAnsi="宋体" w:cs="宋体"/>
                <w:kern w:val="0"/>
                <w:sz w:val="28"/>
                <w:szCs w:val="28"/>
              </w:rPr>
              <w:t>2.35L</w:t>
            </w:r>
          </w:p>
        </w:tc>
        <w:tc>
          <w:tcPr>
            <w:tcW w:w="93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汽油</w:t>
            </w:r>
          </w:p>
        </w:tc>
      </w:tr>
      <w:tr>
        <w:tblPrEx>
          <w:tblCellMar>
            <w:top w:w="0" w:type="dxa"/>
            <w:left w:w="108" w:type="dxa"/>
            <w:bottom w:w="0" w:type="dxa"/>
            <w:right w:w="108" w:type="dxa"/>
          </w:tblCellMar>
        </w:tblPrEx>
        <w:trPr>
          <w:trHeight w:val="1220" w:hRule="atLeast"/>
        </w:trPr>
        <w:tc>
          <w:tcPr>
            <w:tcW w:w="56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4</w:t>
            </w:r>
          </w:p>
        </w:tc>
        <w:tc>
          <w:tcPr>
            <w:tcW w:w="133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粤A356GV</w:t>
            </w:r>
          </w:p>
        </w:tc>
        <w:tc>
          <w:tcPr>
            <w:tcW w:w="2316"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金杯SY6483L2</w:t>
            </w:r>
          </w:p>
        </w:tc>
        <w:tc>
          <w:tcPr>
            <w:tcW w:w="1531"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小型普通客车</w:t>
            </w:r>
          </w:p>
        </w:tc>
        <w:tc>
          <w:tcPr>
            <w:tcW w:w="184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2010/4/29</w:t>
            </w:r>
          </w:p>
        </w:tc>
        <w:tc>
          <w:tcPr>
            <w:tcW w:w="107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cs="宋体"/>
                <w:kern w:val="0"/>
                <w:sz w:val="28"/>
                <w:szCs w:val="28"/>
              </w:rPr>
            </w:pPr>
            <w:r>
              <w:rPr>
                <w:rFonts w:hint="eastAsia" w:ascii="宋体" w:hAnsi="宋体" w:cs="宋体"/>
                <w:kern w:val="0"/>
                <w:sz w:val="28"/>
                <w:szCs w:val="28"/>
              </w:rPr>
              <w:t>2.35L</w:t>
            </w:r>
          </w:p>
        </w:tc>
        <w:tc>
          <w:tcPr>
            <w:tcW w:w="93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汽油</w:t>
            </w:r>
          </w:p>
        </w:tc>
      </w:tr>
      <w:tr>
        <w:tblPrEx>
          <w:tblCellMar>
            <w:top w:w="0" w:type="dxa"/>
            <w:left w:w="108" w:type="dxa"/>
            <w:bottom w:w="0" w:type="dxa"/>
            <w:right w:w="108" w:type="dxa"/>
          </w:tblCellMar>
        </w:tblPrEx>
        <w:trPr>
          <w:trHeight w:val="1220" w:hRule="atLeast"/>
        </w:trPr>
        <w:tc>
          <w:tcPr>
            <w:tcW w:w="56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5</w:t>
            </w:r>
          </w:p>
        </w:tc>
        <w:tc>
          <w:tcPr>
            <w:tcW w:w="133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粤A367GV</w:t>
            </w:r>
          </w:p>
        </w:tc>
        <w:tc>
          <w:tcPr>
            <w:tcW w:w="2316"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金杯SY6483L2</w:t>
            </w:r>
          </w:p>
        </w:tc>
        <w:tc>
          <w:tcPr>
            <w:tcW w:w="1531"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小型普通客车</w:t>
            </w:r>
          </w:p>
        </w:tc>
        <w:tc>
          <w:tcPr>
            <w:tcW w:w="184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2010/4/29</w:t>
            </w:r>
          </w:p>
        </w:tc>
        <w:tc>
          <w:tcPr>
            <w:tcW w:w="107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cs="宋体"/>
                <w:kern w:val="0"/>
                <w:sz w:val="28"/>
                <w:szCs w:val="28"/>
              </w:rPr>
            </w:pPr>
            <w:r>
              <w:rPr>
                <w:rFonts w:hint="eastAsia" w:ascii="宋体" w:hAnsi="宋体" w:cs="宋体"/>
                <w:kern w:val="0"/>
                <w:sz w:val="28"/>
                <w:szCs w:val="28"/>
              </w:rPr>
              <w:t>2.35L</w:t>
            </w:r>
          </w:p>
        </w:tc>
        <w:tc>
          <w:tcPr>
            <w:tcW w:w="93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汽油</w:t>
            </w:r>
          </w:p>
        </w:tc>
      </w:tr>
      <w:tr>
        <w:tblPrEx>
          <w:tblCellMar>
            <w:top w:w="0" w:type="dxa"/>
            <w:left w:w="108" w:type="dxa"/>
            <w:bottom w:w="0" w:type="dxa"/>
            <w:right w:w="108" w:type="dxa"/>
          </w:tblCellMar>
        </w:tblPrEx>
        <w:trPr>
          <w:trHeight w:val="1220" w:hRule="atLeast"/>
        </w:trPr>
        <w:tc>
          <w:tcPr>
            <w:tcW w:w="56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6</w:t>
            </w:r>
          </w:p>
        </w:tc>
        <w:tc>
          <w:tcPr>
            <w:tcW w:w="133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粤A435GV</w:t>
            </w:r>
          </w:p>
        </w:tc>
        <w:tc>
          <w:tcPr>
            <w:tcW w:w="2316"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金杯SY6483L2</w:t>
            </w:r>
          </w:p>
        </w:tc>
        <w:tc>
          <w:tcPr>
            <w:tcW w:w="1531"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小型普通客车</w:t>
            </w:r>
          </w:p>
        </w:tc>
        <w:tc>
          <w:tcPr>
            <w:tcW w:w="184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2010/4/29</w:t>
            </w:r>
          </w:p>
        </w:tc>
        <w:tc>
          <w:tcPr>
            <w:tcW w:w="107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cs="宋体"/>
                <w:kern w:val="0"/>
                <w:sz w:val="28"/>
                <w:szCs w:val="28"/>
              </w:rPr>
            </w:pPr>
            <w:r>
              <w:rPr>
                <w:rFonts w:hint="eastAsia" w:ascii="宋体" w:hAnsi="宋体" w:cs="宋体"/>
                <w:kern w:val="0"/>
                <w:sz w:val="28"/>
                <w:szCs w:val="28"/>
              </w:rPr>
              <w:t>2.35L</w:t>
            </w:r>
          </w:p>
        </w:tc>
        <w:tc>
          <w:tcPr>
            <w:tcW w:w="93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汽油</w:t>
            </w:r>
          </w:p>
        </w:tc>
      </w:tr>
      <w:tr>
        <w:tblPrEx>
          <w:tblCellMar>
            <w:top w:w="0" w:type="dxa"/>
            <w:left w:w="108" w:type="dxa"/>
            <w:bottom w:w="0" w:type="dxa"/>
            <w:right w:w="108" w:type="dxa"/>
          </w:tblCellMar>
        </w:tblPrEx>
        <w:trPr>
          <w:trHeight w:val="1220" w:hRule="atLeast"/>
        </w:trPr>
        <w:tc>
          <w:tcPr>
            <w:tcW w:w="56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7</w:t>
            </w:r>
          </w:p>
        </w:tc>
        <w:tc>
          <w:tcPr>
            <w:tcW w:w="133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粤A441GV</w:t>
            </w:r>
          </w:p>
        </w:tc>
        <w:tc>
          <w:tcPr>
            <w:tcW w:w="2316"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金杯SY6483L2</w:t>
            </w:r>
          </w:p>
        </w:tc>
        <w:tc>
          <w:tcPr>
            <w:tcW w:w="1531"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小型普通客车</w:t>
            </w:r>
          </w:p>
        </w:tc>
        <w:tc>
          <w:tcPr>
            <w:tcW w:w="184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2010/4/29</w:t>
            </w:r>
          </w:p>
        </w:tc>
        <w:tc>
          <w:tcPr>
            <w:tcW w:w="107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cs="宋体"/>
                <w:kern w:val="0"/>
                <w:sz w:val="28"/>
                <w:szCs w:val="28"/>
              </w:rPr>
            </w:pPr>
            <w:r>
              <w:rPr>
                <w:rFonts w:hint="eastAsia" w:ascii="宋体" w:hAnsi="宋体" w:cs="宋体"/>
                <w:kern w:val="0"/>
                <w:sz w:val="28"/>
                <w:szCs w:val="28"/>
              </w:rPr>
              <w:t>2.35L</w:t>
            </w:r>
          </w:p>
        </w:tc>
        <w:tc>
          <w:tcPr>
            <w:tcW w:w="93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汽油</w:t>
            </w:r>
          </w:p>
        </w:tc>
      </w:tr>
      <w:tr>
        <w:tblPrEx>
          <w:tblCellMar>
            <w:top w:w="0" w:type="dxa"/>
            <w:left w:w="108" w:type="dxa"/>
            <w:bottom w:w="0" w:type="dxa"/>
            <w:right w:w="108" w:type="dxa"/>
          </w:tblCellMar>
        </w:tblPrEx>
        <w:trPr>
          <w:trHeight w:val="1220" w:hRule="atLeast"/>
        </w:trPr>
        <w:tc>
          <w:tcPr>
            <w:tcW w:w="56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8</w:t>
            </w:r>
          </w:p>
        </w:tc>
        <w:tc>
          <w:tcPr>
            <w:tcW w:w="133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粤A342GV</w:t>
            </w:r>
          </w:p>
        </w:tc>
        <w:tc>
          <w:tcPr>
            <w:tcW w:w="2316"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金杯SY6483L2</w:t>
            </w:r>
          </w:p>
        </w:tc>
        <w:tc>
          <w:tcPr>
            <w:tcW w:w="1531"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小型普通客车</w:t>
            </w:r>
          </w:p>
        </w:tc>
        <w:tc>
          <w:tcPr>
            <w:tcW w:w="184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2010/4/29</w:t>
            </w:r>
          </w:p>
        </w:tc>
        <w:tc>
          <w:tcPr>
            <w:tcW w:w="107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cs="宋体"/>
                <w:kern w:val="0"/>
                <w:sz w:val="28"/>
                <w:szCs w:val="28"/>
              </w:rPr>
            </w:pPr>
            <w:r>
              <w:rPr>
                <w:rFonts w:hint="eastAsia" w:ascii="宋体" w:hAnsi="宋体" w:cs="宋体"/>
                <w:kern w:val="0"/>
                <w:sz w:val="28"/>
                <w:szCs w:val="28"/>
              </w:rPr>
              <w:t>2.35L</w:t>
            </w:r>
          </w:p>
        </w:tc>
        <w:tc>
          <w:tcPr>
            <w:tcW w:w="93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汽油</w:t>
            </w:r>
          </w:p>
        </w:tc>
      </w:tr>
      <w:tr>
        <w:tblPrEx>
          <w:tblCellMar>
            <w:top w:w="0" w:type="dxa"/>
            <w:left w:w="108" w:type="dxa"/>
            <w:bottom w:w="0" w:type="dxa"/>
            <w:right w:w="108" w:type="dxa"/>
          </w:tblCellMar>
        </w:tblPrEx>
        <w:trPr>
          <w:trHeight w:val="1220" w:hRule="atLeast"/>
        </w:trPr>
        <w:tc>
          <w:tcPr>
            <w:tcW w:w="56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9</w:t>
            </w:r>
          </w:p>
        </w:tc>
        <w:tc>
          <w:tcPr>
            <w:tcW w:w="133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粤AG8288</w:t>
            </w:r>
          </w:p>
        </w:tc>
        <w:tc>
          <w:tcPr>
            <w:tcW w:w="2316"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四川丰田SCT6702TRB53LEX</w:t>
            </w:r>
          </w:p>
        </w:tc>
        <w:tc>
          <w:tcPr>
            <w:tcW w:w="1531"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大型普通客车</w:t>
            </w:r>
          </w:p>
        </w:tc>
        <w:tc>
          <w:tcPr>
            <w:tcW w:w="184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2009/9/16</w:t>
            </w:r>
          </w:p>
        </w:tc>
        <w:tc>
          <w:tcPr>
            <w:tcW w:w="107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cs="宋体"/>
                <w:kern w:val="0"/>
                <w:sz w:val="28"/>
                <w:szCs w:val="28"/>
              </w:rPr>
            </w:pPr>
            <w:r>
              <w:rPr>
                <w:rFonts w:hint="eastAsia" w:ascii="宋体" w:hAnsi="宋体" w:cs="宋体"/>
                <w:kern w:val="0"/>
                <w:sz w:val="28"/>
                <w:szCs w:val="28"/>
              </w:rPr>
              <w:t>2.69L</w:t>
            </w:r>
          </w:p>
        </w:tc>
        <w:tc>
          <w:tcPr>
            <w:tcW w:w="93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汽油</w:t>
            </w:r>
          </w:p>
        </w:tc>
      </w:tr>
      <w:tr>
        <w:tblPrEx>
          <w:tblCellMar>
            <w:top w:w="0" w:type="dxa"/>
            <w:left w:w="108" w:type="dxa"/>
            <w:bottom w:w="0" w:type="dxa"/>
            <w:right w:w="108" w:type="dxa"/>
          </w:tblCellMar>
        </w:tblPrEx>
        <w:trPr>
          <w:trHeight w:val="1220" w:hRule="atLeast"/>
        </w:trPr>
        <w:tc>
          <w:tcPr>
            <w:tcW w:w="56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10</w:t>
            </w:r>
          </w:p>
        </w:tc>
        <w:tc>
          <w:tcPr>
            <w:tcW w:w="133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粤AD0139</w:t>
            </w:r>
          </w:p>
        </w:tc>
        <w:tc>
          <w:tcPr>
            <w:tcW w:w="2316"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四川丰田SCT6702TRB53LEX</w:t>
            </w:r>
          </w:p>
        </w:tc>
        <w:tc>
          <w:tcPr>
            <w:tcW w:w="1531"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大型普通客车</w:t>
            </w:r>
          </w:p>
        </w:tc>
        <w:tc>
          <w:tcPr>
            <w:tcW w:w="184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2009/9/4</w:t>
            </w:r>
          </w:p>
        </w:tc>
        <w:tc>
          <w:tcPr>
            <w:tcW w:w="107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cs="宋体"/>
                <w:kern w:val="0"/>
                <w:sz w:val="28"/>
                <w:szCs w:val="28"/>
              </w:rPr>
            </w:pPr>
            <w:r>
              <w:rPr>
                <w:rFonts w:hint="eastAsia" w:ascii="宋体" w:hAnsi="宋体" w:cs="宋体"/>
                <w:kern w:val="0"/>
                <w:sz w:val="28"/>
                <w:szCs w:val="28"/>
              </w:rPr>
              <w:t>2.69L</w:t>
            </w:r>
          </w:p>
        </w:tc>
        <w:tc>
          <w:tcPr>
            <w:tcW w:w="93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汽油</w:t>
            </w:r>
          </w:p>
        </w:tc>
      </w:tr>
      <w:tr>
        <w:tblPrEx>
          <w:tblCellMar>
            <w:top w:w="0" w:type="dxa"/>
            <w:left w:w="108" w:type="dxa"/>
            <w:bottom w:w="0" w:type="dxa"/>
            <w:right w:w="108" w:type="dxa"/>
          </w:tblCellMar>
        </w:tblPrEx>
        <w:trPr>
          <w:trHeight w:val="1220" w:hRule="atLeast"/>
        </w:trPr>
        <w:tc>
          <w:tcPr>
            <w:tcW w:w="56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11</w:t>
            </w:r>
          </w:p>
        </w:tc>
        <w:tc>
          <w:tcPr>
            <w:tcW w:w="133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粤AS2521</w:t>
            </w:r>
          </w:p>
        </w:tc>
        <w:tc>
          <w:tcPr>
            <w:tcW w:w="2316"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汇众牌(SH6530)</w:t>
            </w:r>
          </w:p>
        </w:tc>
        <w:tc>
          <w:tcPr>
            <w:tcW w:w="1531"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中型普通客车</w:t>
            </w:r>
          </w:p>
        </w:tc>
        <w:tc>
          <w:tcPr>
            <w:tcW w:w="184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2007/12/17</w:t>
            </w:r>
          </w:p>
        </w:tc>
        <w:tc>
          <w:tcPr>
            <w:tcW w:w="107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cs="宋体"/>
                <w:kern w:val="0"/>
                <w:sz w:val="28"/>
                <w:szCs w:val="28"/>
              </w:rPr>
            </w:pPr>
            <w:r>
              <w:rPr>
                <w:rFonts w:hint="eastAsia" w:ascii="宋体" w:hAnsi="宋体" w:cs="宋体"/>
                <w:kern w:val="0"/>
                <w:sz w:val="28"/>
                <w:szCs w:val="28"/>
              </w:rPr>
              <w:t>2.29L</w:t>
            </w:r>
          </w:p>
        </w:tc>
        <w:tc>
          <w:tcPr>
            <w:tcW w:w="93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汽油</w:t>
            </w:r>
          </w:p>
        </w:tc>
      </w:tr>
      <w:tr>
        <w:tblPrEx>
          <w:tblCellMar>
            <w:top w:w="0" w:type="dxa"/>
            <w:left w:w="108" w:type="dxa"/>
            <w:bottom w:w="0" w:type="dxa"/>
            <w:right w:w="108" w:type="dxa"/>
          </w:tblCellMar>
        </w:tblPrEx>
        <w:trPr>
          <w:trHeight w:val="1220" w:hRule="atLeast"/>
        </w:trPr>
        <w:tc>
          <w:tcPr>
            <w:tcW w:w="56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12</w:t>
            </w:r>
          </w:p>
        </w:tc>
        <w:tc>
          <w:tcPr>
            <w:tcW w:w="133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粤AS2523</w:t>
            </w:r>
          </w:p>
        </w:tc>
        <w:tc>
          <w:tcPr>
            <w:tcW w:w="2316"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金杯（SY6521G2S3BG)</w:t>
            </w:r>
          </w:p>
        </w:tc>
        <w:tc>
          <w:tcPr>
            <w:tcW w:w="1531"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中型普通客车</w:t>
            </w:r>
          </w:p>
        </w:tc>
        <w:tc>
          <w:tcPr>
            <w:tcW w:w="184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2011/10/12</w:t>
            </w:r>
          </w:p>
        </w:tc>
        <w:tc>
          <w:tcPr>
            <w:tcW w:w="107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cs="宋体"/>
                <w:kern w:val="0"/>
                <w:sz w:val="28"/>
                <w:szCs w:val="28"/>
              </w:rPr>
            </w:pPr>
            <w:r>
              <w:rPr>
                <w:rFonts w:hint="eastAsia" w:ascii="宋体" w:hAnsi="宋体" w:cs="宋体"/>
                <w:kern w:val="0"/>
                <w:sz w:val="28"/>
                <w:szCs w:val="28"/>
              </w:rPr>
              <w:t>2.69L</w:t>
            </w:r>
          </w:p>
        </w:tc>
        <w:tc>
          <w:tcPr>
            <w:tcW w:w="93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汽油</w:t>
            </w:r>
          </w:p>
        </w:tc>
      </w:tr>
      <w:tr>
        <w:tblPrEx>
          <w:tblCellMar>
            <w:top w:w="0" w:type="dxa"/>
            <w:left w:w="108" w:type="dxa"/>
            <w:bottom w:w="0" w:type="dxa"/>
            <w:right w:w="108" w:type="dxa"/>
          </w:tblCellMar>
        </w:tblPrEx>
        <w:trPr>
          <w:trHeight w:val="1220" w:hRule="atLeast"/>
        </w:trPr>
        <w:tc>
          <w:tcPr>
            <w:tcW w:w="56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13</w:t>
            </w:r>
          </w:p>
        </w:tc>
        <w:tc>
          <w:tcPr>
            <w:tcW w:w="133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粤ADL1366</w:t>
            </w:r>
          </w:p>
        </w:tc>
        <w:tc>
          <w:tcPr>
            <w:tcW w:w="2316"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小鹏牌HMA7002S688EV</w:t>
            </w:r>
          </w:p>
        </w:tc>
        <w:tc>
          <w:tcPr>
            <w:tcW w:w="1531"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小型轿车</w:t>
            </w:r>
          </w:p>
        </w:tc>
        <w:tc>
          <w:tcPr>
            <w:tcW w:w="184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2020/3/17</w:t>
            </w:r>
          </w:p>
        </w:tc>
        <w:tc>
          <w:tcPr>
            <w:tcW w:w="107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cs="宋体"/>
                <w:kern w:val="0"/>
                <w:sz w:val="28"/>
                <w:szCs w:val="28"/>
              </w:rPr>
            </w:pPr>
            <w:r>
              <w:rPr>
                <w:rFonts w:hint="eastAsia" w:ascii="宋体" w:hAnsi="宋体" w:cs="宋体"/>
                <w:kern w:val="0"/>
                <w:sz w:val="28"/>
                <w:szCs w:val="28"/>
              </w:rPr>
              <w:t>0</w:t>
            </w:r>
          </w:p>
        </w:tc>
        <w:tc>
          <w:tcPr>
            <w:tcW w:w="93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电车</w:t>
            </w:r>
          </w:p>
        </w:tc>
      </w:tr>
      <w:tr>
        <w:tblPrEx>
          <w:tblCellMar>
            <w:top w:w="0" w:type="dxa"/>
            <w:left w:w="108" w:type="dxa"/>
            <w:bottom w:w="0" w:type="dxa"/>
            <w:right w:w="108" w:type="dxa"/>
          </w:tblCellMar>
        </w:tblPrEx>
        <w:trPr>
          <w:trHeight w:val="1220" w:hRule="atLeast"/>
        </w:trPr>
        <w:tc>
          <w:tcPr>
            <w:tcW w:w="56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14</w:t>
            </w:r>
          </w:p>
        </w:tc>
        <w:tc>
          <w:tcPr>
            <w:tcW w:w="133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粤A2R31P</w:t>
            </w:r>
          </w:p>
        </w:tc>
        <w:tc>
          <w:tcPr>
            <w:tcW w:w="2316"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传祺牌GAC7152B2A6A</w:t>
            </w:r>
          </w:p>
        </w:tc>
        <w:tc>
          <w:tcPr>
            <w:tcW w:w="1531"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小型轿车</w:t>
            </w:r>
          </w:p>
        </w:tc>
        <w:tc>
          <w:tcPr>
            <w:tcW w:w="184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2020/3/17</w:t>
            </w:r>
          </w:p>
        </w:tc>
        <w:tc>
          <w:tcPr>
            <w:tcW w:w="1073" w:type="dxa"/>
            <w:tcBorders>
              <w:top w:val="nil"/>
              <w:left w:val="nil"/>
              <w:bottom w:val="single" w:color="auto" w:sz="4" w:space="0"/>
              <w:right w:val="single" w:color="auto" w:sz="4" w:space="0"/>
            </w:tcBorders>
            <w:shd w:val="clear" w:color="000000" w:fill="FFFFFF"/>
            <w:vAlign w:val="center"/>
          </w:tcPr>
          <w:p>
            <w:pPr>
              <w:widowControl/>
              <w:jc w:val="center"/>
              <w:rPr>
                <w:rFonts w:ascii="宋体" w:hAnsi="宋体" w:cs="宋体"/>
                <w:kern w:val="0"/>
                <w:sz w:val="28"/>
                <w:szCs w:val="28"/>
              </w:rPr>
            </w:pPr>
            <w:r>
              <w:rPr>
                <w:rFonts w:hint="eastAsia" w:ascii="宋体" w:hAnsi="宋体" w:cs="宋体"/>
                <w:kern w:val="0"/>
                <w:sz w:val="28"/>
                <w:szCs w:val="28"/>
              </w:rPr>
              <w:t>1.50L</w:t>
            </w:r>
          </w:p>
        </w:tc>
        <w:tc>
          <w:tcPr>
            <w:tcW w:w="93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汽油</w:t>
            </w:r>
          </w:p>
        </w:tc>
      </w:tr>
      <w:tr>
        <w:tblPrEx>
          <w:tblCellMar>
            <w:top w:w="0" w:type="dxa"/>
            <w:left w:w="108" w:type="dxa"/>
            <w:bottom w:w="0" w:type="dxa"/>
            <w:right w:w="108" w:type="dxa"/>
          </w:tblCellMar>
        </w:tblPrEx>
        <w:trPr>
          <w:trHeight w:val="1220" w:hRule="atLeast"/>
        </w:trPr>
        <w:tc>
          <w:tcPr>
            <w:tcW w:w="56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15</w:t>
            </w:r>
          </w:p>
        </w:tc>
        <w:tc>
          <w:tcPr>
            <w:tcW w:w="133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粤AFR552</w:t>
            </w:r>
          </w:p>
        </w:tc>
        <w:tc>
          <w:tcPr>
            <w:tcW w:w="2316"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金旅牌XML6700J26</w:t>
            </w:r>
          </w:p>
        </w:tc>
        <w:tc>
          <w:tcPr>
            <w:tcW w:w="1531"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大型普通客车</w:t>
            </w:r>
          </w:p>
        </w:tc>
        <w:tc>
          <w:tcPr>
            <w:tcW w:w="184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2023/3/3</w:t>
            </w:r>
          </w:p>
        </w:tc>
        <w:tc>
          <w:tcPr>
            <w:tcW w:w="107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cs="宋体"/>
                <w:kern w:val="0"/>
                <w:sz w:val="28"/>
                <w:szCs w:val="28"/>
              </w:rPr>
            </w:pPr>
            <w:r>
              <w:rPr>
                <w:rFonts w:hint="eastAsia" w:ascii="宋体" w:hAnsi="宋体" w:cs="宋体"/>
                <w:kern w:val="0"/>
                <w:sz w:val="28"/>
                <w:szCs w:val="28"/>
              </w:rPr>
              <w:t>2.78L</w:t>
            </w:r>
          </w:p>
        </w:tc>
        <w:tc>
          <w:tcPr>
            <w:tcW w:w="93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柴油</w:t>
            </w:r>
          </w:p>
        </w:tc>
      </w:tr>
      <w:tr>
        <w:tblPrEx>
          <w:tblCellMar>
            <w:top w:w="0" w:type="dxa"/>
            <w:left w:w="108" w:type="dxa"/>
            <w:bottom w:w="0" w:type="dxa"/>
            <w:right w:w="108" w:type="dxa"/>
          </w:tblCellMar>
        </w:tblPrEx>
        <w:trPr>
          <w:trHeight w:val="1220" w:hRule="atLeast"/>
        </w:trPr>
        <w:tc>
          <w:tcPr>
            <w:tcW w:w="56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16</w:t>
            </w:r>
          </w:p>
        </w:tc>
        <w:tc>
          <w:tcPr>
            <w:tcW w:w="133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粤AGT087</w:t>
            </w:r>
          </w:p>
        </w:tc>
        <w:tc>
          <w:tcPr>
            <w:tcW w:w="2316"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金旅牌</w:t>
            </w:r>
            <w:r>
              <w:rPr>
                <w:rFonts w:hint="eastAsia" w:ascii="仿宋" w:hAnsi="仿宋" w:eastAsia="仿宋" w:cs="宋体"/>
                <w:kern w:val="0"/>
                <w:sz w:val="28"/>
                <w:szCs w:val="28"/>
              </w:rPr>
              <w:br w:type="textWrapping"/>
            </w:r>
            <w:r>
              <w:rPr>
                <w:rFonts w:hint="eastAsia" w:ascii="仿宋" w:hAnsi="仿宋" w:eastAsia="仿宋" w:cs="宋体"/>
                <w:kern w:val="0"/>
                <w:sz w:val="28"/>
                <w:szCs w:val="28"/>
              </w:rPr>
              <w:t>XML6907J16Y</w:t>
            </w:r>
          </w:p>
        </w:tc>
        <w:tc>
          <w:tcPr>
            <w:tcW w:w="1531"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大型普通客车</w:t>
            </w:r>
          </w:p>
        </w:tc>
        <w:tc>
          <w:tcPr>
            <w:tcW w:w="184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2024/5/20</w:t>
            </w:r>
          </w:p>
        </w:tc>
        <w:tc>
          <w:tcPr>
            <w:tcW w:w="107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cs="宋体"/>
                <w:kern w:val="0"/>
                <w:sz w:val="28"/>
                <w:szCs w:val="28"/>
              </w:rPr>
            </w:pPr>
            <w:r>
              <w:rPr>
                <w:rFonts w:hint="eastAsia" w:ascii="宋体" w:hAnsi="宋体" w:cs="宋体"/>
                <w:kern w:val="0"/>
                <w:sz w:val="28"/>
                <w:szCs w:val="28"/>
              </w:rPr>
              <w:t>6.23L</w:t>
            </w:r>
          </w:p>
        </w:tc>
        <w:tc>
          <w:tcPr>
            <w:tcW w:w="93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柴油</w:t>
            </w:r>
          </w:p>
        </w:tc>
      </w:tr>
      <w:tr>
        <w:tblPrEx>
          <w:tblCellMar>
            <w:top w:w="0" w:type="dxa"/>
            <w:left w:w="108" w:type="dxa"/>
            <w:bottom w:w="0" w:type="dxa"/>
            <w:right w:w="108" w:type="dxa"/>
          </w:tblCellMar>
        </w:tblPrEx>
        <w:trPr>
          <w:trHeight w:val="1229" w:hRule="atLeast"/>
        </w:trPr>
        <w:tc>
          <w:tcPr>
            <w:tcW w:w="563"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17</w:t>
            </w:r>
          </w:p>
        </w:tc>
        <w:tc>
          <w:tcPr>
            <w:tcW w:w="1337"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8"/>
                <w:szCs w:val="28"/>
              </w:rPr>
            </w:pPr>
            <w:r>
              <w:rPr>
                <w:rFonts w:hint="eastAsia" w:ascii="宋体" w:hAnsi="宋体" w:cs="宋体"/>
                <w:color w:val="000000"/>
                <w:kern w:val="0"/>
                <w:sz w:val="28"/>
                <w:szCs w:val="28"/>
              </w:rPr>
              <w:t>新大巴</w:t>
            </w:r>
          </w:p>
        </w:tc>
        <w:tc>
          <w:tcPr>
            <w:tcW w:w="2316"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金旅牌</w:t>
            </w:r>
            <w:r>
              <w:rPr>
                <w:rFonts w:hint="eastAsia" w:ascii="仿宋" w:hAnsi="仿宋" w:eastAsia="仿宋" w:cs="宋体"/>
                <w:kern w:val="0"/>
                <w:sz w:val="28"/>
                <w:szCs w:val="28"/>
              </w:rPr>
              <w:br w:type="textWrapping"/>
            </w:r>
            <w:r>
              <w:rPr>
                <w:rFonts w:hint="eastAsia" w:ascii="仿宋" w:hAnsi="仿宋" w:eastAsia="仿宋" w:cs="宋体"/>
                <w:kern w:val="0"/>
                <w:sz w:val="28"/>
                <w:szCs w:val="28"/>
              </w:rPr>
              <w:t>XML6907J16Y</w:t>
            </w:r>
          </w:p>
        </w:tc>
        <w:tc>
          <w:tcPr>
            <w:tcW w:w="1531"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大型普通客车</w:t>
            </w:r>
          </w:p>
        </w:tc>
        <w:tc>
          <w:tcPr>
            <w:tcW w:w="1844" w:type="dxa"/>
            <w:tcBorders>
              <w:top w:val="nil"/>
              <w:left w:val="nil"/>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未上牌</w:t>
            </w:r>
          </w:p>
        </w:tc>
        <w:tc>
          <w:tcPr>
            <w:tcW w:w="1073" w:type="dxa"/>
            <w:tcBorders>
              <w:top w:val="nil"/>
              <w:left w:val="nil"/>
              <w:bottom w:val="single" w:color="auto" w:sz="4" w:space="0"/>
              <w:right w:val="single" w:color="auto" w:sz="4" w:space="0"/>
            </w:tcBorders>
            <w:shd w:val="clear" w:color="000000" w:fill="FFFFFF"/>
            <w:noWrap/>
            <w:vAlign w:val="center"/>
          </w:tcPr>
          <w:p>
            <w:pPr>
              <w:widowControl/>
              <w:jc w:val="center"/>
              <w:rPr>
                <w:rFonts w:ascii="宋体" w:hAnsi="宋体" w:cs="宋体"/>
                <w:kern w:val="0"/>
                <w:sz w:val="28"/>
                <w:szCs w:val="28"/>
              </w:rPr>
            </w:pPr>
            <w:r>
              <w:rPr>
                <w:rFonts w:hint="eastAsia" w:ascii="宋体" w:hAnsi="宋体" w:cs="宋体"/>
                <w:kern w:val="0"/>
                <w:sz w:val="28"/>
                <w:szCs w:val="28"/>
              </w:rPr>
              <w:t>6.23L</w:t>
            </w:r>
          </w:p>
        </w:tc>
        <w:tc>
          <w:tcPr>
            <w:tcW w:w="931"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柴油</w:t>
            </w:r>
          </w:p>
        </w:tc>
      </w:tr>
    </w:tbl>
    <w:p>
      <w:pPr>
        <w:rPr>
          <w:rFonts w:ascii="宋体" w:hAnsi="宋体"/>
          <w:bCs/>
          <w:kern w:val="44"/>
          <w:szCs w:val="21"/>
        </w:rPr>
      </w:pPr>
    </w:p>
    <w:p>
      <w:pPr>
        <w:pStyle w:val="2"/>
        <w:rPr>
          <w:rFonts w:ascii="宋体" w:hAnsi="宋体" w:eastAsia="宋体"/>
          <w:sz w:val="21"/>
          <w:szCs w:val="21"/>
        </w:rPr>
      </w:pPr>
      <w:r>
        <w:rPr>
          <w:rFonts w:hint="eastAsia" w:ascii="宋体" w:hAnsi="宋体" w:eastAsia="宋体"/>
          <w:sz w:val="21"/>
          <w:szCs w:val="21"/>
        </w:rPr>
        <w:t>救护车：</w:t>
      </w:r>
    </w:p>
    <w:tbl>
      <w:tblPr>
        <w:tblStyle w:val="5"/>
        <w:tblW w:w="9218" w:type="dxa"/>
        <w:tblInd w:w="93" w:type="dxa"/>
        <w:tblLayout w:type="autofit"/>
        <w:tblCellMar>
          <w:top w:w="0" w:type="dxa"/>
          <w:left w:w="108" w:type="dxa"/>
          <w:bottom w:w="0" w:type="dxa"/>
          <w:right w:w="108" w:type="dxa"/>
        </w:tblCellMar>
      </w:tblPr>
      <w:tblGrid>
        <w:gridCol w:w="734"/>
        <w:gridCol w:w="1271"/>
        <w:gridCol w:w="2036"/>
        <w:gridCol w:w="1844"/>
        <w:gridCol w:w="1616"/>
        <w:gridCol w:w="966"/>
        <w:gridCol w:w="895"/>
      </w:tblGrid>
      <w:tr>
        <w:tblPrEx>
          <w:tblCellMar>
            <w:top w:w="0" w:type="dxa"/>
            <w:left w:w="108" w:type="dxa"/>
            <w:bottom w:w="0" w:type="dxa"/>
            <w:right w:w="108" w:type="dxa"/>
          </w:tblCellMar>
        </w:tblPrEx>
        <w:trPr>
          <w:trHeight w:val="1139" w:hRule="atLeast"/>
        </w:trPr>
        <w:tc>
          <w:tcPr>
            <w:tcW w:w="734" w:type="dxa"/>
            <w:tcBorders>
              <w:top w:val="single" w:color="auto" w:sz="4" w:space="0"/>
              <w:left w:val="single" w:color="auto" w:sz="4" w:space="0"/>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序号</w:t>
            </w:r>
          </w:p>
        </w:tc>
        <w:tc>
          <w:tcPr>
            <w:tcW w:w="1271" w:type="dxa"/>
            <w:tcBorders>
              <w:top w:val="single" w:color="auto" w:sz="4" w:space="0"/>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车牌号</w:t>
            </w:r>
          </w:p>
        </w:tc>
        <w:tc>
          <w:tcPr>
            <w:tcW w:w="1933"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品牌型号</w:t>
            </w:r>
          </w:p>
        </w:tc>
        <w:tc>
          <w:tcPr>
            <w:tcW w:w="1844" w:type="dxa"/>
            <w:tcBorders>
              <w:top w:val="single" w:color="auto" w:sz="4" w:space="0"/>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车辆类型</w:t>
            </w:r>
          </w:p>
        </w:tc>
        <w:tc>
          <w:tcPr>
            <w:tcW w:w="1575" w:type="dxa"/>
            <w:tcBorders>
              <w:top w:val="single" w:color="auto" w:sz="4" w:space="0"/>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使用日期</w:t>
            </w:r>
          </w:p>
        </w:tc>
        <w:tc>
          <w:tcPr>
            <w:tcW w:w="966" w:type="dxa"/>
            <w:tcBorders>
              <w:top w:val="single" w:color="auto" w:sz="4" w:space="0"/>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排量</w:t>
            </w:r>
          </w:p>
        </w:tc>
        <w:tc>
          <w:tcPr>
            <w:tcW w:w="895" w:type="dxa"/>
            <w:tcBorders>
              <w:top w:val="single" w:color="auto" w:sz="4" w:space="0"/>
              <w:left w:val="nil"/>
              <w:bottom w:val="single" w:color="auto" w:sz="4" w:space="0"/>
              <w:right w:val="single" w:color="auto" w:sz="4" w:space="0"/>
            </w:tcBorders>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燃油种类</w:t>
            </w:r>
          </w:p>
        </w:tc>
      </w:tr>
      <w:tr>
        <w:tblPrEx>
          <w:tblCellMar>
            <w:top w:w="0" w:type="dxa"/>
            <w:left w:w="108" w:type="dxa"/>
            <w:bottom w:w="0" w:type="dxa"/>
            <w:right w:w="108" w:type="dxa"/>
          </w:tblCellMar>
        </w:tblPrEx>
        <w:trPr>
          <w:trHeight w:val="1139" w:hRule="atLeast"/>
        </w:trPr>
        <w:tc>
          <w:tcPr>
            <w:tcW w:w="73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1</w:t>
            </w:r>
          </w:p>
        </w:tc>
        <w:tc>
          <w:tcPr>
            <w:tcW w:w="1271"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粤AE2P57</w:t>
            </w:r>
          </w:p>
        </w:tc>
        <w:tc>
          <w:tcPr>
            <w:tcW w:w="1933"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北地牌ND5044XJH</w:t>
            </w:r>
          </w:p>
        </w:tc>
        <w:tc>
          <w:tcPr>
            <w:tcW w:w="1844"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小型专用客车（救护车)</w:t>
            </w:r>
          </w:p>
        </w:tc>
        <w:tc>
          <w:tcPr>
            <w:tcW w:w="15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2011.8.22</w:t>
            </w:r>
          </w:p>
        </w:tc>
        <w:tc>
          <w:tcPr>
            <w:tcW w:w="966"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3.50L</w:t>
            </w:r>
          </w:p>
        </w:tc>
        <w:tc>
          <w:tcPr>
            <w:tcW w:w="89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汽油</w:t>
            </w:r>
          </w:p>
        </w:tc>
      </w:tr>
      <w:tr>
        <w:tblPrEx>
          <w:tblCellMar>
            <w:top w:w="0" w:type="dxa"/>
            <w:left w:w="108" w:type="dxa"/>
            <w:bottom w:w="0" w:type="dxa"/>
            <w:right w:w="108" w:type="dxa"/>
          </w:tblCellMar>
        </w:tblPrEx>
        <w:trPr>
          <w:trHeight w:val="1139" w:hRule="atLeast"/>
        </w:trPr>
        <w:tc>
          <w:tcPr>
            <w:tcW w:w="73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w:t>
            </w:r>
          </w:p>
        </w:tc>
        <w:tc>
          <w:tcPr>
            <w:tcW w:w="1271"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粤AS0Z88</w:t>
            </w:r>
          </w:p>
        </w:tc>
        <w:tc>
          <w:tcPr>
            <w:tcW w:w="1933"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八达牌XB5037XJH4</w:t>
            </w:r>
          </w:p>
        </w:tc>
        <w:tc>
          <w:tcPr>
            <w:tcW w:w="1844"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小型专用客车（救护车)</w:t>
            </w:r>
          </w:p>
        </w:tc>
        <w:tc>
          <w:tcPr>
            <w:tcW w:w="15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2012.12.6</w:t>
            </w:r>
          </w:p>
        </w:tc>
        <w:tc>
          <w:tcPr>
            <w:tcW w:w="966"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2.69L</w:t>
            </w:r>
          </w:p>
        </w:tc>
        <w:tc>
          <w:tcPr>
            <w:tcW w:w="89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汽油</w:t>
            </w:r>
          </w:p>
        </w:tc>
      </w:tr>
      <w:tr>
        <w:tblPrEx>
          <w:tblCellMar>
            <w:top w:w="0" w:type="dxa"/>
            <w:left w:w="108" w:type="dxa"/>
            <w:bottom w:w="0" w:type="dxa"/>
            <w:right w:w="108" w:type="dxa"/>
          </w:tblCellMar>
        </w:tblPrEx>
        <w:trPr>
          <w:trHeight w:val="1139" w:hRule="atLeast"/>
        </w:trPr>
        <w:tc>
          <w:tcPr>
            <w:tcW w:w="73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3</w:t>
            </w:r>
          </w:p>
        </w:tc>
        <w:tc>
          <w:tcPr>
            <w:tcW w:w="1271"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粤AT299B</w:t>
            </w:r>
          </w:p>
        </w:tc>
        <w:tc>
          <w:tcPr>
            <w:tcW w:w="1933"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八达牌XB5037XJH4</w:t>
            </w:r>
          </w:p>
        </w:tc>
        <w:tc>
          <w:tcPr>
            <w:tcW w:w="1844"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小型专用客车（救护车)</w:t>
            </w:r>
          </w:p>
        </w:tc>
        <w:tc>
          <w:tcPr>
            <w:tcW w:w="15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2012.11.23</w:t>
            </w:r>
          </w:p>
        </w:tc>
        <w:tc>
          <w:tcPr>
            <w:tcW w:w="966"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2.69L</w:t>
            </w:r>
          </w:p>
        </w:tc>
        <w:tc>
          <w:tcPr>
            <w:tcW w:w="89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汽油</w:t>
            </w:r>
          </w:p>
        </w:tc>
      </w:tr>
      <w:tr>
        <w:tblPrEx>
          <w:tblCellMar>
            <w:top w:w="0" w:type="dxa"/>
            <w:left w:w="108" w:type="dxa"/>
            <w:bottom w:w="0" w:type="dxa"/>
            <w:right w:w="108" w:type="dxa"/>
          </w:tblCellMar>
        </w:tblPrEx>
        <w:trPr>
          <w:trHeight w:val="1139" w:hRule="atLeast"/>
        </w:trPr>
        <w:tc>
          <w:tcPr>
            <w:tcW w:w="73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4</w:t>
            </w:r>
          </w:p>
        </w:tc>
        <w:tc>
          <w:tcPr>
            <w:tcW w:w="1271"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粤A1B7P9</w:t>
            </w:r>
          </w:p>
        </w:tc>
        <w:tc>
          <w:tcPr>
            <w:tcW w:w="1933"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广客牌GT25040XJH-3H</w:t>
            </w:r>
          </w:p>
        </w:tc>
        <w:tc>
          <w:tcPr>
            <w:tcW w:w="1844"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小型专用客车（救护车)</w:t>
            </w:r>
          </w:p>
        </w:tc>
        <w:tc>
          <w:tcPr>
            <w:tcW w:w="15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2017.4.21</w:t>
            </w:r>
          </w:p>
        </w:tc>
        <w:tc>
          <w:tcPr>
            <w:tcW w:w="966"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3.50L</w:t>
            </w:r>
          </w:p>
        </w:tc>
        <w:tc>
          <w:tcPr>
            <w:tcW w:w="89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汽油</w:t>
            </w:r>
          </w:p>
        </w:tc>
      </w:tr>
      <w:tr>
        <w:tblPrEx>
          <w:tblCellMar>
            <w:top w:w="0" w:type="dxa"/>
            <w:left w:w="108" w:type="dxa"/>
            <w:bottom w:w="0" w:type="dxa"/>
            <w:right w:w="108" w:type="dxa"/>
          </w:tblCellMar>
        </w:tblPrEx>
        <w:trPr>
          <w:trHeight w:val="1139" w:hRule="atLeast"/>
        </w:trPr>
        <w:tc>
          <w:tcPr>
            <w:tcW w:w="73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5</w:t>
            </w:r>
          </w:p>
        </w:tc>
        <w:tc>
          <w:tcPr>
            <w:tcW w:w="1271"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粤A2B8P5</w:t>
            </w:r>
          </w:p>
        </w:tc>
        <w:tc>
          <w:tcPr>
            <w:tcW w:w="1933"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广客牌GT25040XJH-3H</w:t>
            </w:r>
          </w:p>
        </w:tc>
        <w:tc>
          <w:tcPr>
            <w:tcW w:w="1844"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小型专用客车（救护车)</w:t>
            </w:r>
          </w:p>
        </w:tc>
        <w:tc>
          <w:tcPr>
            <w:tcW w:w="15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2017.4.21</w:t>
            </w:r>
          </w:p>
        </w:tc>
        <w:tc>
          <w:tcPr>
            <w:tcW w:w="966"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3.50L</w:t>
            </w:r>
          </w:p>
        </w:tc>
        <w:tc>
          <w:tcPr>
            <w:tcW w:w="89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汽油</w:t>
            </w:r>
          </w:p>
        </w:tc>
      </w:tr>
      <w:tr>
        <w:tblPrEx>
          <w:tblCellMar>
            <w:top w:w="0" w:type="dxa"/>
            <w:left w:w="108" w:type="dxa"/>
            <w:bottom w:w="0" w:type="dxa"/>
            <w:right w:w="108" w:type="dxa"/>
          </w:tblCellMar>
        </w:tblPrEx>
        <w:trPr>
          <w:trHeight w:val="1139" w:hRule="atLeast"/>
        </w:trPr>
        <w:tc>
          <w:tcPr>
            <w:tcW w:w="73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6</w:t>
            </w:r>
          </w:p>
        </w:tc>
        <w:tc>
          <w:tcPr>
            <w:tcW w:w="1271"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粤A1B2P0</w:t>
            </w:r>
          </w:p>
        </w:tc>
        <w:tc>
          <w:tcPr>
            <w:tcW w:w="1933"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广客牌GT25040XJH-3H</w:t>
            </w:r>
          </w:p>
        </w:tc>
        <w:tc>
          <w:tcPr>
            <w:tcW w:w="1844"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小型专用客车（救护车)</w:t>
            </w:r>
          </w:p>
        </w:tc>
        <w:tc>
          <w:tcPr>
            <w:tcW w:w="15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2017.4.21</w:t>
            </w:r>
          </w:p>
        </w:tc>
        <w:tc>
          <w:tcPr>
            <w:tcW w:w="966"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3.50L</w:t>
            </w:r>
          </w:p>
        </w:tc>
        <w:tc>
          <w:tcPr>
            <w:tcW w:w="89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汽油</w:t>
            </w:r>
          </w:p>
        </w:tc>
      </w:tr>
      <w:tr>
        <w:tblPrEx>
          <w:tblCellMar>
            <w:top w:w="0" w:type="dxa"/>
            <w:left w:w="108" w:type="dxa"/>
            <w:bottom w:w="0" w:type="dxa"/>
            <w:right w:w="108" w:type="dxa"/>
          </w:tblCellMar>
        </w:tblPrEx>
        <w:trPr>
          <w:trHeight w:val="699" w:hRule="atLeast"/>
        </w:trPr>
        <w:tc>
          <w:tcPr>
            <w:tcW w:w="73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7</w:t>
            </w:r>
          </w:p>
        </w:tc>
        <w:tc>
          <w:tcPr>
            <w:tcW w:w="1271"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粤A9B1S2</w:t>
            </w:r>
          </w:p>
        </w:tc>
        <w:tc>
          <w:tcPr>
            <w:tcW w:w="1933"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广客牌GT25040XJH-3H</w:t>
            </w:r>
          </w:p>
        </w:tc>
        <w:tc>
          <w:tcPr>
            <w:tcW w:w="1844"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小型专用客车（救护车)</w:t>
            </w:r>
          </w:p>
        </w:tc>
        <w:tc>
          <w:tcPr>
            <w:tcW w:w="15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2017.5.3</w:t>
            </w:r>
          </w:p>
        </w:tc>
        <w:tc>
          <w:tcPr>
            <w:tcW w:w="966"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3.50L</w:t>
            </w:r>
          </w:p>
        </w:tc>
        <w:tc>
          <w:tcPr>
            <w:tcW w:w="89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汽油</w:t>
            </w:r>
          </w:p>
        </w:tc>
      </w:tr>
      <w:tr>
        <w:tblPrEx>
          <w:tblCellMar>
            <w:top w:w="0" w:type="dxa"/>
            <w:left w:w="108" w:type="dxa"/>
            <w:bottom w:w="0" w:type="dxa"/>
            <w:right w:w="108" w:type="dxa"/>
          </w:tblCellMar>
        </w:tblPrEx>
        <w:trPr>
          <w:trHeight w:val="1139" w:hRule="atLeast"/>
        </w:trPr>
        <w:tc>
          <w:tcPr>
            <w:tcW w:w="73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8</w:t>
            </w:r>
          </w:p>
        </w:tc>
        <w:tc>
          <w:tcPr>
            <w:tcW w:w="1271"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粤A3B9S0</w:t>
            </w:r>
          </w:p>
        </w:tc>
        <w:tc>
          <w:tcPr>
            <w:tcW w:w="1933"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广客牌GT25040XJH-3H</w:t>
            </w:r>
          </w:p>
        </w:tc>
        <w:tc>
          <w:tcPr>
            <w:tcW w:w="1844"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小型专用客车（救护车)</w:t>
            </w:r>
          </w:p>
        </w:tc>
        <w:tc>
          <w:tcPr>
            <w:tcW w:w="15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2017.4.28</w:t>
            </w:r>
          </w:p>
        </w:tc>
        <w:tc>
          <w:tcPr>
            <w:tcW w:w="966"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3.50L</w:t>
            </w:r>
          </w:p>
        </w:tc>
        <w:tc>
          <w:tcPr>
            <w:tcW w:w="89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汽油</w:t>
            </w:r>
          </w:p>
        </w:tc>
      </w:tr>
      <w:tr>
        <w:tblPrEx>
          <w:tblCellMar>
            <w:top w:w="0" w:type="dxa"/>
            <w:left w:w="108" w:type="dxa"/>
            <w:bottom w:w="0" w:type="dxa"/>
            <w:right w:w="108" w:type="dxa"/>
          </w:tblCellMar>
        </w:tblPrEx>
        <w:trPr>
          <w:trHeight w:val="1139" w:hRule="atLeast"/>
        </w:trPr>
        <w:tc>
          <w:tcPr>
            <w:tcW w:w="73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9</w:t>
            </w:r>
          </w:p>
        </w:tc>
        <w:tc>
          <w:tcPr>
            <w:tcW w:w="1271"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粤A1Z11E</w:t>
            </w:r>
          </w:p>
        </w:tc>
        <w:tc>
          <w:tcPr>
            <w:tcW w:w="1933"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白云牌BY5049XJH</w:t>
            </w:r>
          </w:p>
        </w:tc>
        <w:tc>
          <w:tcPr>
            <w:tcW w:w="1844"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小型专用客车（救护车)</w:t>
            </w:r>
          </w:p>
        </w:tc>
        <w:tc>
          <w:tcPr>
            <w:tcW w:w="15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2021.2.5</w:t>
            </w:r>
          </w:p>
        </w:tc>
        <w:tc>
          <w:tcPr>
            <w:tcW w:w="966"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2.20L</w:t>
            </w:r>
          </w:p>
        </w:tc>
        <w:tc>
          <w:tcPr>
            <w:tcW w:w="89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柴油</w:t>
            </w:r>
          </w:p>
        </w:tc>
      </w:tr>
      <w:tr>
        <w:tblPrEx>
          <w:tblCellMar>
            <w:top w:w="0" w:type="dxa"/>
            <w:left w:w="108" w:type="dxa"/>
            <w:bottom w:w="0" w:type="dxa"/>
            <w:right w:w="108" w:type="dxa"/>
          </w:tblCellMar>
        </w:tblPrEx>
        <w:trPr>
          <w:trHeight w:val="1139" w:hRule="atLeast"/>
        </w:trPr>
        <w:tc>
          <w:tcPr>
            <w:tcW w:w="73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10</w:t>
            </w:r>
          </w:p>
        </w:tc>
        <w:tc>
          <w:tcPr>
            <w:tcW w:w="1271"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粤A1B74M</w:t>
            </w:r>
          </w:p>
        </w:tc>
        <w:tc>
          <w:tcPr>
            <w:tcW w:w="1933"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白云牌BY5050XJH</w:t>
            </w:r>
          </w:p>
        </w:tc>
        <w:tc>
          <w:tcPr>
            <w:tcW w:w="1844"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小型专用客车（救护车)</w:t>
            </w:r>
          </w:p>
        </w:tc>
        <w:tc>
          <w:tcPr>
            <w:tcW w:w="15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2021.2.5</w:t>
            </w:r>
          </w:p>
        </w:tc>
        <w:tc>
          <w:tcPr>
            <w:tcW w:w="966"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2.20L</w:t>
            </w:r>
          </w:p>
        </w:tc>
        <w:tc>
          <w:tcPr>
            <w:tcW w:w="89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柴油</w:t>
            </w:r>
          </w:p>
        </w:tc>
      </w:tr>
      <w:tr>
        <w:tblPrEx>
          <w:tblCellMar>
            <w:top w:w="0" w:type="dxa"/>
            <w:left w:w="108" w:type="dxa"/>
            <w:bottom w:w="0" w:type="dxa"/>
            <w:right w:w="108" w:type="dxa"/>
          </w:tblCellMar>
        </w:tblPrEx>
        <w:trPr>
          <w:trHeight w:val="1139" w:hRule="atLeast"/>
        </w:trPr>
        <w:tc>
          <w:tcPr>
            <w:tcW w:w="73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11</w:t>
            </w:r>
          </w:p>
        </w:tc>
        <w:tc>
          <w:tcPr>
            <w:tcW w:w="1271"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粤A71JA2</w:t>
            </w:r>
          </w:p>
        </w:tc>
        <w:tc>
          <w:tcPr>
            <w:tcW w:w="1933"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白云牌BY5051XJH</w:t>
            </w:r>
          </w:p>
        </w:tc>
        <w:tc>
          <w:tcPr>
            <w:tcW w:w="1844"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小型专用客车（救护车)</w:t>
            </w:r>
          </w:p>
        </w:tc>
        <w:tc>
          <w:tcPr>
            <w:tcW w:w="15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2021.4.28</w:t>
            </w:r>
          </w:p>
        </w:tc>
        <w:tc>
          <w:tcPr>
            <w:tcW w:w="966"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2.20L</w:t>
            </w:r>
          </w:p>
        </w:tc>
        <w:tc>
          <w:tcPr>
            <w:tcW w:w="89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柴油</w:t>
            </w:r>
          </w:p>
        </w:tc>
      </w:tr>
      <w:tr>
        <w:tblPrEx>
          <w:tblCellMar>
            <w:top w:w="0" w:type="dxa"/>
            <w:left w:w="108" w:type="dxa"/>
            <w:bottom w:w="0" w:type="dxa"/>
            <w:right w:w="108" w:type="dxa"/>
          </w:tblCellMar>
        </w:tblPrEx>
        <w:trPr>
          <w:trHeight w:val="1148" w:hRule="atLeast"/>
        </w:trPr>
        <w:tc>
          <w:tcPr>
            <w:tcW w:w="734"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12</w:t>
            </w:r>
          </w:p>
        </w:tc>
        <w:tc>
          <w:tcPr>
            <w:tcW w:w="1271"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粤A82FF3</w:t>
            </w:r>
          </w:p>
        </w:tc>
        <w:tc>
          <w:tcPr>
            <w:tcW w:w="1933"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白云牌BY5052XJH</w:t>
            </w:r>
          </w:p>
        </w:tc>
        <w:tc>
          <w:tcPr>
            <w:tcW w:w="1844" w:type="dxa"/>
            <w:tcBorders>
              <w:top w:val="nil"/>
              <w:left w:val="nil"/>
              <w:bottom w:val="single" w:color="auto" w:sz="4" w:space="0"/>
              <w:right w:val="single" w:color="auto" w:sz="4" w:space="0"/>
            </w:tcBorders>
            <w:shd w:val="clear" w:color="000000" w:fill="FFFFFF"/>
            <w:vAlign w:val="center"/>
          </w:tcPr>
          <w:p>
            <w:pPr>
              <w:widowControl/>
              <w:jc w:val="center"/>
              <w:rPr>
                <w:rFonts w:ascii="仿宋" w:hAnsi="仿宋" w:eastAsia="仿宋" w:cs="宋体"/>
                <w:kern w:val="0"/>
                <w:sz w:val="28"/>
                <w:szCs w:val="28"/>
              </w:rPr>
            </w:pPr>
            <w:r>
              <w:rPr>
                <w:rFonts w:hint="eastAsia" w:ascii="仿宋" w:hAnsi="仿宋" w:eastAsia="仿宋" w:cs="宋体"/>
                <w:kern w:val="0"/>
                <w:sz w:val="28"/>
                <w:szCs w:val="28"/>
              </w:rPr>
              <w:t>小型专用客车（救护车)</w:t>
            </w:r>
          </w:p>
        </w:tc>
        <w:tc>
          <w:tcPr>
            <w:tcW w:w="157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2021.4.29</w:t>
            </w:r>
          </w:p>
        </w:tc>
        <w:tc>
          <w:tcPr>
            <w:tcW w:w="966"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2.20L</w:t>
            </w:r>
          </w:p>
        </w:tc>
        <w:tc>
          <w:tcPr>
            <w:tcW w:w="895" w:type="dxa"/>
            <w:tcBorders>
              <w:top w:val="nil"/>
              <w:left w:val="nil"/>
              <w:bottom w:val="single" w:color="auto" w:sz="4" w:space="0"/>
              <w:right w:val="single" w:color="auto" w:sz="4" w:space="0"/>
            </w:tcBorders>
            <w:noWrap/>
            <w:vAlign w:val="center"/>
          </w:tcPr>
          <w:p>
            <w:pPr>
              <w:widowControl/>
              <w:jc w:val="center"/>
              <w:rPr>
                <w:rFonts w:ascii="仿宋" w:hAnsi="仿宋" w:eastAsia="仿宋" w:cs="宋体"/>
                <w:color w:val="000000"/>
                <w:kern w:val="0"/>
                <w:sz w:val="28"/>
                <w:szCs w:val="28"/>
              </w:rPr>
            </w:pPr>
            <w:r>
              <w:rPr>
                <w:rFonts w:hint="eastAsia" w:ascii="仿宋" w:hAnsi="仿宋" w:eastAsia="仿宋" w:cs="宋体"/>
                <w:color w:val="000000"/>
                <w:kern w:val="0"/>
                <w:sz w:val="28"/>
                <w:szCs w:val="28"/>
              </w:rPr>
              <w:t>柴油</w:t>
            </w:r>
          </w:p>
        </w:tc>
      </w:tr>
    </w:tbl>
    <w:p/>
    <w:p>
      <w:pPr>
        <w:spacing w:line="300" w:lineRule="auto"/>
        <w:ind w:firstLine="420"/>
      </w:pPr>
      <w:r>
        <w:rPr>
          <w:rFonts w:hint="eastAsia"/>
        </w:rPr>
        <w:t>2.质量要求</w:t>
      </w:r>
    </w:p>
    <w:p>
      <w:pPr>
        <w:tabs>
          <w:tab w:val="left" w:pos="720"/>
        </w:tabs>
        <w:spacing w:line="300" w:lineRule="auto"/>
        <w:ind w:firstLine="420" w:firstLineChars="200"/>
        <w:outlineLvl w:val="0"/>
        <w:rPr>
          <w:rFonts w:ascii="宋体" w:hAnsi="宋体" w:cs="宋体"/>
          <w:szCs w:val="21"/>
          <w:lang w:val="en-GB"/>
        </w:rPr>
      </w:pPr>
      <w:r>
        <w:rPr>
          <w:rFonts w:hint="eastAsia" w:ascii="宋体" w:hAnsi="宋体" w:cs="宋体"/>
          <w:szCs w:val="21"/>
          <w:lang w:val="en-GB"/>
        </w:rPr>
        <w:t>（</w:t>
      </w:r>
      <w:r>
        <w:rPr>
          <w:rFonts w:hint="eastAsia" w:ascii="宋体" w:hAnsi="宋体" w:cs="宋体"/>
          <w:szCs w:val="21"/>
        </w:rPr>
        <w:t>1</w:t>
      </w:r>
      <w:r>
        <w:rPr>
          <w:rFonts w:hint="eastAsia" w:ascii="宋体" w:hAnsi="宋体" w:cs="宋体"/>
          <w:szCs w:val="21"/>
          <w:lang w:val="en-GB"/>
        </w:rPr>
        <w:t>）所采用的零部件、配件等材料必须符合国家或部颁标准和行业标准以及汽车维修相关标准。进货渠道必须合法，不得使用假冒伪劣产品或以次充好。经采购人同意，可以用替代件或旧件的（</w:t>
      </w:r>
      <w:r>
        <w:rPr>
          <w:rFonts w:hint="eastAsia" w:ascii="宋体" w:hAnsi="宋体" w:cs="宋体"/>
          <w:szCs w:val="21"/>
        </w:rPr>
        <w:t>以购货发票为依据</w:t>
      </w:r>
      <w:r>
        <w:rPr>
          <w:rFonts w:hint="eastAsia" w:ascii="宋体" w:hAnsi="宋体" w:cs="宋体"/>
          <w:szCs w:val="21"/>
          <w:lang w:val="en-GB"/>
        </w:rPr>
        <w:t>），服务商必须在材料清单中加以注明，否则不得使用替代件或旧件。</w:t>
      </w:r>
    </w:p>
    <w:p>
      <w:pPr>
        <w:tabs>
          <w:tab w:val="left" w:pos="720"/>
        </w:tabs>
        <w:spacing w:line="300" w:lineRule="auto"/>
        <w:ind w:firstLine="420" w:firstLineChars="200"/>
        <w:outlineLvl w:val="0"/>
        <w:rPr>
          <w:rFonts w:ascii="宋体" w:hAnsi="宋体" w:cs="宋体"/>
          <w:szCs w:val="21"/>
          <w:lang w:val="en-GB"/>
        </w:rPr>
      </w:pPr>
      <w:r>
        <w:rPr>
          <w:rFonts w:hint="eastAsia" w:ascii="宋体" w:hAnsi="宋体" w:cs="宋体"/>
          <w:szCs w:val="21"/>
          <w:lang w:val="en-GB"/>
        </w:rPr>
        <w:t>（</w:t>
      </w:r>
      <w:r>
        <w:rPr>
          <w:rFonts w:hint="eastAsia" w:ascii="宋体" w:hAnsi="宋体" w:cs="宋体"/>
          <w:szCs w:val="21"/>
        </w:rPr>
        <w:t>2</w:t>
      </w:r>
      <w:r>
        <w:rPr>
          <w:rFonts w:hint="eastAsia" w:ascii="宋体" w:hAnsi="宋体" w:cs="宋体"/>
          <w:szCs w:val="21"/>
          <w:lang w:val="en-GB"/>
        </w:rPr>
        <w:t>）被修车辆达不到规定的质量标准和技术要求的，返修不得再计价收费。车辆竣工出厂执行质量保证期制度，不能低于中华人民共和国交通部所颁布的《机动车维修管理规定》（2005年第7号令）的标准（服务商可对此提供更优的方案）。</w:t>
      </w:r>
    </w:p>
    <w:p>
      <w:pPr>
        <w:tabs>
          <w:tab w:val="left" w:pos="720"/>
        </w:tabs>
        <w:spacing w:line="300" w:lineRule="auto"/>
        <w:ind w:firstLine="420" w:firstLineChars="200"/>
        <w:outlineLvl w:val="0"/>
        <w:rPr>
          <w:rFonts w:ascii="宋体" w:hAnsi="宋体" w:cs="宋体"/>
          <w:szCs w:val="21"/>
          <w:lang w:val="en-GB"/>
        </w:rPr>
      </w:pPr>
      <w:r>
        <w:rPr>
          <w:rFonts w:hint="eastAsia" w:ascii="宋体" w:hAnsi="宋体" w:cs="宋体"/>
          <w:szCs w:val="21"/>
          <w:lang w:val="en-GB"/>
        </w:rPr>
        <w:t>（</w:t>
      </w:r>
      <w:r>
        <w:rPr>
          <w:rFonts w:hint="eastAsia" w:ascii="宋体" w:hAnsi="宋体" w:cs="宋体"/>
          <w:szCs w:val="21"/>
        </w:rPr>
        <w:t>3</w:t>
      </w:r>
      <w:r>
        <w:rPr>
          <w:rFonts w:hint="eastAsia" w:ascii="宋体" w:hAnsi="宋体" w:cs="宋体"/>
          <w:szCs w:val="21"/>
          <w:lang w:val="en-GB"/>
        </w:rPr>
        <w:t>）责任保障期限及车辆质量保障按照国家有关部门颁发的最新标准执行。在质量保证期内，因维修质量造成的直接经济损失，由服务商负责。</w:t>
      </w:r>
    </w:p>
    <w:p>
      <w:pPr>
        <w:tabs>
          <w:tab w:val="left" w:pos="720"/>
        </w:tabs>
        <w:spacing w:line="300" w:lineRule="auto"/>
        <w:ind w:firstLine="420" w:firstLineChars="200"/>
        <w:outlineLvl w:val="0"/>
        <w:rPr>
          <w:rFonts w:ascii="宋体" w:hAnsi="宋体" w:cs="宋体"/>
          <w:szCs w:val="21"/>
          <w:lang w:val="en-GB"/>
        </w:rPr>
      </w:pPr>
      <w:r>
        <w:rPr>
          <w:rFonts w:hint="eastAsia" w:ascii="宋体" w:hAnsi="宋体" w:cs="宋体"/>
          <w:szCs w:val="21"/>
          <w:lang w:val="en-GB"/>
        </w:rPr>
        <w:t>（</w:t>
      </w:r>
      <w:r>
        <w:rPr>
          <w:rFonts w:hint="eastAsia" w:ascii="宋体" w:hAnsi="宋体" w:cs="宋体"/>
          <w:szCs w:val="21"/>
        </w:rPr>
        <w:t>4</w:t>
      </w:r>
      <w:r>
        <w:rPr>
          <w:rFonts w:hint="eastAsia" w:ascii="宋体" w:hAnsi="宋体" w:cs="宋体"/>
          <w:szCs w:val="21"/>
          <w:lang w:val="en-GB"/>
        </w:rPr>
        <w:t>）车辆返修率控制在5%以内，并建立汽车维修档案，认真记录车辆维修情况。</w:t>
      </w:r>
    </w:p>
    <w:p>
      <w:pPr>
        <w:tabs>
          <w:tab w:val="left" w:pos="720"/>
        </w:tabs>
        <w:spacing w:line="300" w:lineRule="auto"/>
        <w:ind w:firstLine="420" w:firstLineChars="200"/>
        <w:outlineLvl w:val="0"/>
        <w:rPr>
          <w:rFonts w:ascii="宋体" w:hAnsi="宋体" w:cs="宋体"/>
          <w:szCs w:val="21"/>
          <w:lang w:val="en-GB"/>
        </w:rPr>
      </w:pPr>
      <w:r>
        <w:rPr>
          <w:rFonts w:hint="eastAsia" w:ascii="宋体" w:hAnsi="宋体" w:cs="宋体"/>
          <w:szCs w:val="21"/>
          <w:lang w:val="en-GB"/>
        </w:rPr>
        <w:t>（</w:t>
      </w:r>
      <w:r>
        <w:rPr>
          <w:rFonts w:hint="eastAsia" w:ascii="宋体" w:hAnsi="宋体" w:cs="宋体"/>
          <w:szCs w:val="21"/>
        </w:rPr>
        <w:t>5</w:t>
      </w:r>
      <w:r>
        <w:rPr>
          <w:rFonts w:hint="eastAsia" w:ascii="宋体" w:hAnsi="宋体" w:cs="宋体"/>
          <w:szCs w:val="21"/>
          <w:lang w:val="en-GB"/>
        </w:rPr>
        <w:t>）所有维修车辆出厂时必须达到《机动车运行安全技术条件》GB7258-2017等国家安全技术标准及车辆维修标准。</w:t>
      </w:r>
    </w:p>
    <w:p>
      <w:pPr>
        <w:tabs>
          <w:tab w:val="left" w:pos="720"/>
        </w:tabs>
        <w:spacing w:line="300" w:lineRule="auto"/>
        <w:ind w:firstLine="420" w:firstLineChars="200"/>
        <w:outlineLvl w:val="0"/>
        <w:rPr>
          <w:rFonts w:ascii="宋体" w:hAnsi="宋体" w:cs="宋体"/>
          <w:szCs w:val="21"/>
        </w:rPr>
      </w:pPr>
      <w:r>
        <w:rPr>
          <w:rFonts w:hint="eastAsia" w:ascii="宋体" w:hAnsi="宋体" w:cs="宋体"/>
          <w:szCs w:val="21"/>
        </w:rPr>
        <w:t>3.服务要求</w:t>
      </w:r>
    </w:p>
    <w:p>
      <w:pPr>
        <w:tabs>
          <w:tab w:val="left" w:pos="720"/>
        </w:tabs>
        <w:spacing w:line="300" w:lineRule="auto"/>
        <w:ind w:firstLine="420" w:firstLineChars="200"/>
        <w:outlineLvl w:val="0"/>
        <w:rPr>
          <w:rFonts w:ascii="宋体" w:hAnsi="宋体" w:cs="宋体"/>
          <w:szCs w:val="21"/>
          <w:lang w:val="en-GB"/>
        </w:rPr>
      </w:pPr>
      <w:r>
        <w:rPr>
          <w:rFonts w:hint="eastAsia" w:ascii="宋体" w:hAnsi="宋体" w:cs="宋体"/>
          <w:szCs w:val="21"/>
        </w:rPr>
        <w:t>（1）</w:t>
      </w:r>
      <w:r>
        <w:rPr>
          <w:rFonts w:hint="eastAsia" w:ascii="宋体" w:hAnsi="宋体" w:cs="宋体"/>
          <w:szCs w:val="21"/>
          <w:lang w:val="en-GB"/>
        </w:rPr>
        <w:t>必须严格遵守《广州市机动车维修管理规定》、《中华人民共和国交通运输行业标准机动车维修服务规范》JT/T816-2011等相关规定。</w:t>
      </w:r>
    </w:p>
    <w:p>
      <w:pPr>
        <w:tabs>
          <w:tab w:val="left" w:pos="662"/>
        </w:tabs>
        <w:spacing w:line="300" w:lineRule="auto"/>
        <w:ind w:firstLine="420" w:firstLineChars="200"/>
        <w:jc w:val="left"/>
        <w:rPr>
          <w:rFonts w:ascii="宋体" w:hAnsi="宋体" w:cs="宋体"/>
          <w:szCs w:val="21"/>
        </w:rPr>
      </w:pPr>
      <w:r>
        <w:rPr>
          <w:rFonts w:hint="eastAsia"/>
        </w:rPr>
        <w:t>（2）</w:t>
      </w:r>
      <w:r>
        <w:rPr>
          <w:rFonts w:hint="eastAsia" w:ascii="宋体" w:hAnsi="宋体" w:cs="宋体"/>
          <w:szCs w:val="21"/>
        </w:rPr>
        <w:t>场地及设施符合国家规定的标准要求，修理车间布局合理、车间设施良好、修理工位标示明确。</w:t>
      </w:r>
    </w:p>
    <w:p>
      <w:pPr>
        <w:tabs>
          <w:tab w:val="left" w:pos="662"/>
        </w:tabs>
        <w:spacing w:line="300" w:lineRule="auto"/>
        <w:ind w:firstLine="420" w:firstLineChars="200"/>
        <w:jc w:val="left"/>
        <w:rPr>
          <w:rFonts w:ascii="宋体" w:hAnsi="宋体" w:cs="宋体"/>
          <w:szCs w:val="21"/>
        </w:rPr>
      </w:pPr>
      <w:r>
        <w:rPr>
          <w:rFonts w:hint="eastAsia" w:ascii="宋体" w:hAnsi="宋体" w:cs="宋体"/>
          <w:szCs w:val="21"/>
        </w:rPr>
        <w:t>（3）设备符合GB/T 16739.1-2004标准，并配备有车辆救援的专用设备及车辆。</w:t>
      </w:r>
    </w:p>
    <w:p>
      <w:pPr>
        <w:tabs>
          <w:tab w:val="left" w:pos="662"/>
        </w:tabs>
        <w:spacing w:line="300" w:lineRule="auto"/>
        <w:ind w:firstLine="420" w:firstLineChars="200"/>
        <w:jc w:val="left"/>
        <w:rPr>
          <w:rFonts w:ascii="宋体" w:hAnsi="宋体" w:cs="宋体"/>
          <w:szCs w:val="21"/>
        </w:rPr>
      </w:pPr>
      <w:r>
        <w:rPr>
          <w:rFonts w:hint="eastAsia" w:ascii="宋体" w:hAnsi="宋体" w:cs="宋体"/>
          <w:szCs w:val="21"/>
        </w:rPr>
        <w:t>（4）采购人及相关监督管理部门将不定期对服务商进行抽查，一旦发现服务商的维修材料进货价虚高，采购人有权无条件终止合同并扣除履约保证金。</w:t>
      </w:r>
    </w:p>
    <w:p>
      <w:pPr>
        <w:tabs>
          <w:tab w:val="left" w:pos="662"/>
        </w:tabs>
        <w:spacing w:line="300" w:lineRule="auto"/>
        <w:ind w:firstLine="420" w:firstLineChars="200"/>
        <w:jc w:val="left"/>
      </w:pPr>
      <w:r>
        <w:rPr>
          <w:rFonts w:hint="eastAsia"/>
        </w:rPr>
        <w:t>（5）维修服务期内，服务商应每月向采购人报送详细车辆维修记录。</w:t>
      </w:r>
    </w:p>
    <w:p>
      <w:pPr>
        <w:tabs>
          <w:tab w:val="left" w:pos="720"/>
        </w:tabs>
        <w:spacing w:line="300" w:lineRule="auto"/>
        <w:ind w:firstLine="420" w:firstLineChars="200"/>
        <w:outlineLvl w:val="0"/>
        <w:rPr>
          <w:rFonts w:ascii="宋体" w:hAnsi="宋体" w:cs="宋体"/>
          <w:szCs w:val="21"/>
        </w:rPr>
      </w:pPr>
      <w:r>
        <w:rPr>
          <w:rFonts w:hint="eastAsia" w:ascii="宋体" w:hAnsi="宋体" w:cs="宋体"/>
          <w:szCs w:val="21"/>
        </w:rPr>
        <w:t>4.维修要求</w:t>
      </w:r>
    </w:p>
    <w:p>
      <w:pPr>
        <w:spacing w:line="300" w:lineRule="auto"/>
        <w:ind w:firstLine="420" w:firstLineChars="200"/>
        <w:rPr>
          <w:rFonts w:ascii="Calibri" w:hAnsi="Calibri"/>
        </w:rPr>
      </w:pPr>
      <w:r>
        <w:rPr>
          <w:rFonts w:hint="eastAsia" w:ascii="Calibri" w:hAnsi="Calibri"/>
        </w:rPr>
        <w:t>（1）接受委托维修时，维修项目和维修费用（工时费和配件费）须由采购人签名认可，在标价时，服务商应编制维修项目明细表，确保送修单位对维修内容及其细节的知情权。</w:t>
      </w:r>
    </w:p>
    <w:p>
      <w:pPr>
        <w:spacing w:line="300" w:lineRule="auto"/>
        <w:ind w:firstLine="420" w:firstLineChars="200"/>
        <w:rPr>
          <w:rFonts w:ascii="Calibri" w:hAnsi="Calibri"/>
        </w:rPr>
      </w:pPr>
      <w:r>
        <w:rPr>
          <w:rFonts w:hint="eastAsia" w:ascii="Calibri" w:hAnsi="Calibri"/>
        </w:rPr>
        <w:t>（2）提供24小时应急响应，设立响应电话，提供专人服务。接到用户故障通知后立即响应，普通维修接通知后上门维修响应时间不超过1小时；车辆行驶过程中发生应急故障的15分钟内响应，30分钟内到达现场抢修处理（广州市区内）。车辆小修须当日完成，中大修须5日内完成，事故车及疑难故障除外。如因客观原因无法在限期内交车的，须提前一天与采购人联系，经采购人确认并同意后，才可延长车辆维修时限。</w:t>
      </w:r>
    </w:p>
    <w:p>
      <w:pPr>
        <w:spacing w:line="300" w:lineRule="auto"/>
        <w:ind w:firstLine="420" w:firstLineChars="200"/>
        <w:rPr>
          <w:rFonts w:ascii="Calibri" w:hAnsi="Calibri"/>
        </w:rPr>
      </w:pPr>
      <w:r>
        <w:rPr>
          <w:rFonts w:hint="eastAsia" w:ascii="Calibri" w:hAnsi="Calibri"/>
        </w:rPr>
        <w:t>（3）检验人员必须在现场对车辆进行诊断，初步确定维修项目，并要充分征求采购人的意见。</w:t>
      </w:r>
    </w:p>
    <w:p>
      <w:pPr>
        <w:spacing w:line="300" w:lineRule="auto"/>
        <w:ind w:firstLine="420" w:firstLineChars="200"/>
        <w:rPr>
          <w:rFonts w:ascii="Calibri" w:hAnsi="Calibri"/>
        </w:rPr>
      </w:pPr>
      <w:r>
        <w:rPr>
          <w:rFonts w:hint="eastAsia" w:ascii="Calibri" w:hAnsi="Calibri"/>
        </w:rPr>
        <w:t>（4）业务员在制作估价单后，应向采购人详细说明维修的项目、作业的内容、配件的来源渠道及价格（含价格证明材料）、维修时间和维修费用。</w:t>
      </w:r>
    </w:p>
    <w:p>
      <w:pPr>
        <w:spacing w:line="300" w:lineRule="auto"/>
        <w:ind w:firstLine="420" w:firstLineChars="200"/>
        <w:rPr>
          <w:rFonts w:ascii="Calibri" w:hAnsi="Calibri"/>
        </w:rPr>
      </w:pPr>
      <w:r>
        <w:rPr>
          <w:rFonts w:hint="eastAsia" w:ascii="Calibri" w:hAnsi="Calibri"/>
        </w:rPr>
        <w:t>（5）在维修过程中如需追加工作单外的必要项目，维修人员应立即告知调度或技术负责人，确认后，在维修前应征得采购人同意，并追加工作单或在原工作单上补项，否则追加项目产生的费用由服务商承担。</w:t>
      </w:r>
    </w:p>
    <w:p>
      <w:pPr>
        <w:spacing w:line="300" w:lineRule="auto"/>
        <w:ind w:firstLine="420" w:firstLineChars="200"/>
        <w:rPr>
          <w:rFonts w:ascii="Calibri" w:hAnsi="Calibri"/>
        </w:rPr>
      </w:pPr>
      <w:r>
        <w:rPr>
          <w:rFonts w:hint="eastAsia" w:ascii="Calibri" w:hAnsi="Calibri"/>
        </w:rPr>
        <w:t>（6）维修人员更换配件时，必须使用原厂配件更换，同时旧件应交库房保存，车辆竣工出厂后，旧件应归还采购人。</w:t>
      </w:r>
    </w:p>
    <w:p>
      <w:pPr>
        <w:spacing w:line="300" w:lineRule="auto"/>
        <w:ind w:firstLine="420" w:firstLineChars="200"/>
        <w:rPr>
          <w:rFonts w:ascii="Calibri" w:hAnsi="Calibri"/>
        </w:rPr>
      </w:pPr>
      <w:r>
        <w:rPr>
          <w:rFonts w:hint="eastAsia" w:ascii="Calibri" w:hAnsi="Calibri"/>
        </w:rPr>
        <w:t>（7）汽车竣工出厂后，服务商应建立采购人维修档案（包括用户名称、地址、电话、联系人、车牌号、维修资料等），以便今后联系、调查和服务。</w:t>
      </w:r>
    </w:p>
    <w:p>
      <w:pPr>
        <w:spacing w:line="300" w:lineRule="auto"/>
        <w:ind w:firstLine="420" w:firstLineChars="200"/>
        <w:rPr>
          <w:rFonts w:ascii="Calibri" w:hAnsi="Calibri"/>
        </w:rPr>
      </w:pPr>
      <w:r>
        <w:rPr>
          <w:rFonts w:hint="eastAsia" w:ascii="Calibri" w:hAnsi="Calibri"/>
        </w:rPr>
        <w:t>（8）车辆竣工出厂后，责任保障期限及车辆质量保障按照国家有关部门颁发的最新标准执行。</w:t>
      </w:r>
    </w:p>
    <w:p>
      <w:pPr>
        <w:spacing w:line="300" w:lineRule="auto"/>
        <w:ind w:firstLine="420" w:firstLineChars="200"/>
        <w:rPr>
          <w:rFonts w:ascii="Calibri" w:hAnsi="Calibri"/>
        </w:rPr>
      </w:pPr>
      <w:r>
        <w:rPr>
          <w:rFonts w:hint="eastAsia" w:ascii="Calibri" w:hAnsi="Calibri"/>
        </w:rPr>
        <w:t>（9）在质量保证期内，因维修质量造成的车辆故障或损坏的，服务商应负责及时返修，由于维修质量问题造成的车辆异常损坏或车辆机件事故的，由服务商负责。</w:t>
      </w:r>
    </w:p>
    <w:p>
      <w:pPr>
        <w:spacing w:line="300" w:lineRule="auto"/>
        <w:ind w:firstLine="420" w:firstLineChars="200"/>
        <w:rPr>
          <w:rFonts w:ascii="Calibri" w:hAnsi="Calibri"/>
        </w:rPr>
      </w:pPr>
      <w:r>
        <w:rPr>
          <w:rFonts w:hint="eastAsia" w:ascii="Calibri" w:hAnsi="Calibri"/>
        </w:rPr>
        <w:t>（10）服务商不得以任何借口动用采购人车辆，未经采购人允许不得将车开出厂试车或作它用。</w:t>
      </w:r>
    </w:p>
    <w:p>
      <w:pPr>
        <w:spacing w:line="300" w:lineRule="auto"/>
        <w:ind w:firstLine="420" w:firstLineChars="200"/>
        <w:rPr>
          <w:rFonts w:ascii="Calibri" w:hAnsi="Calibri"/>
        </w:rPr>
      </w:pPr>
      <w:r>
        <w:rPr>
          <w:rFonts w:hint="eastAsia" w:ascii="Calibri" w:hAnsi="Calibri"/>
        </w:rPr>
        <w:t>（11）提供24小时救援服务，设立应急电话，确定紧急抢修联络人。在广东省范围内提供24小时拖车服务，拖车费由服务商承担。</w:t>
      </w:r>
    </w:p>
    <w:p>
      <w:pPr>
        <w:spacing w:line="300" w:lineRule="auto"/>
        <w:ind w:firstLine="420" w:firstLineChars="200"/>
        <w:rPr>
          <w:szCs w:val="21"/>
        </w:rPr>
      </w:pPr>
      <w:r>
        <w:rPr>
          <w:rFonts w:hint="eastAsia" w:ascii="Calibri" w:hAnsi="Calibri"/>
          <w:szCs w:val="21"/>
        </w:rPr>
        <w:t>（12）免费提供洗车。</w:t>
      </w:r>
    </w:p>
    <w:p>
      <w:pPr>
        <w:spacing w:line="300" w:lineRule="auto"/>
        <w:ind w:firstLine="420" w:firstLineChars="200"/>
        <w:rPr>
          <w:rFonts w:ascii="Calibri" w:hAnsi="Calibri"/>
        </w:rPr>
      </w:pPr>
      <w:r>
        <w:rPr>
          <w:rFonts w:hint="eastAsia" w:ascii="Calibri" w:hAnsi="Calibri"/>
        </w:rPr>
        <w:t>（13）不得将采购人的车辆转厂维修。</w:t>
      </w:r>
    </w:p>
    <w:p>
      <w:pPr>
        <w:spacing w:line="300" w:lineRule="auto"/>
        <w:ind w:firstLine="420" w:firstLineChars="200"/>
        <w:rPr>
          <w:rFonts w:ascii="Calibri" w:hAnsi="Calibri"/>
        </w:rPr>
      </w:pPr>
      <w:r>
        <w:rPr>
          <w:rFonts w:hint="eastAsia" w:ascii="Calibri" w:hAnsi="Calibri"/>
        </w:rPr>
        <w:t>5.考核要求</w:t>
      </w:r>
    </w:p>
    <w:p>
      <w:pPr>
        <w:spacing w:line="300" w:lineRule="auto"/>
        <w:ind w:firstLine="420" w:firstLineChars="200"/>
        <w:rPr>
          <w:rFonts w:ascii="Calibri" w:hAnsi="Calibri"/>
        </w:rPr>
      </w:pPr>
      <w:r>
        <w:rPr>
          <w:rFonts w:hint="eastAsia" w:ascii="Calibri" w:hAnsi="Calibri"/>
        </w:rPr>
        <w:t>（1）考核周期：本项目实行年度考核，年度合同结束前，采购人对服务商进行一次年度考核。</w:t>
      </w:r>
    </w:p>
    <w:p>
      <w:pPr>
        <w:spacing w:line="300" w:lineRule="auto"/>
        <w:ind w:firstLine="420" w:firstLineChars="200"/>
        <w:rPr>
          <w:rFonts w:ascii="Calibri" w:hAnsi="Calibri"/>
        </w:rPr>
      </w:pPr>
      <w:r>
        <w:rPr>
          <w:rFonts w:hint="eastAsia" w:ascii="Calibri" w:hAnsi="Calibri"/>
        </w:rPr>
        <w:t>（2）考核标准及措施：考核得分≥80分，则可续签下一年度合同；考核得分＜80分，采购人有权无条件终止合作，并扣除履约保证金。</w:t>
      </w:r>
    </w:p>
    <w:p>
      <w:pPr>
        <w:spacing w:line="300" w:lineRule="auto"/>
        <w:ind w:firstLine="420" w:firstLineChars="200"/>
      </w:pPr>
      <w:r>
        <w:rPr>
          <w:rFonts w:hint="eastAsia" w:ascii="Calibri" w:hAnsi="Calibri"/>
        </w:rPr>
        <w:t>（3）考核细则</w:t>
      </w:r>
    </w:p>
    <w:p/>
    <w:p>
      <w:pPr>
        <w:jc w:val="center"/>
        <w:rPr>
          <w:b/>
          <w:bCs/>
          <w:sz w:val="24"/>
          <w:szCs w:val="24"/>
        </w:rPr>
      </w:pPr>
      <w:r>
        <w:rPr>
          <w:rFonts w:hint="eastAsia"/>
          <w:b/>
          <w:bCs/>
          <w:sz w:val="24"/>
          <w:szCs w:val="24"/>
        </w:rPr>
        <w:t>车辆维修服务考核表</w:t>
      </w:r>
    </w:p>
    <w:p>
      <w:r>
        <w:rPr>
          <w:rFonts w:hint="eastAsia"/>
        </w:rPr>
        <w:t xml:space="preserve">服务商名称：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2"/>
        <w:gridCol w:w="1121"/>
        <w:gridCol w:w="4999"/>
        <w:gridCol w:w="1008"/>
        <w:gridCol w:w="7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6" w:type="dxa"/>
            <w:vAlign w:val="center"/>
          </w:tcPr>
          <w:p>
            <w:pPr>
              <w:spacing w:line="300" w:lineRule="auto"/>
              <w:jc w:val="center"/>
              <w:rPr>
                <w:rFonts w:ascii="Calibri" w:hAnsi="Calibri"/>
              </w:rPr>
            </w:pPr>
            <w:r>
              <w:rPr>
                <w:rFonts w:hint="eastAsia" w:ascii="Calibri" w:hAnsi="Calibri"/>
              </w:rPr>
              <w:t>序号</w:t>
            </w:r>
          </w:p>
        </w:tc>
        <w:tc>
          <w:tcPr>
            <w:tcW w:w="1223" w:type="dxa"/>
            <w:vAlign w:val="center"/>
          </w:tcPr>
          <w:p>
            <w:pPr>
              <w:spacing w:line="300" w:lineRule="auto"/>
              <w:jc w:val="center"/>
              <w:rPr>
                <w:rFonts w:ascii="Calibri" w:hAnsi="Calibri"/>
              </w:rPr>
            </w:pPr>
            <w:r>
              <w:rPr>
                <w:rFonts w:hint="eastAsia" w:ascii="Calibri" w:hAnsi="Calibri"/>
              </w:rPr>
              <w:t>考核项目</w:t>
            </w:r>
          </w:p>
        </w:tc>
        <w:tc>
          <w:tcPr>
            <w:tcW w:w="5896" w:type="dxa"/>
            <w:vAlign w:val="center"/>
          </w:tcPr>
          <w:p>
            <w:pPr>
              <w:spacing w:line="300" w:lineRule="auto"/>
              <w:jc w:val="center"/>
              <w:rPr>
                <w:rFonts w:ascii="Calibri" w:hAnsi="Calibri"/>
              </w:rPr>
            </w:pPr>
            <w:r>
              <w:rPr>
                <w:rFonts w:hint="eastAsia" w:ascii="Calibri" w:hAnsi="Calibri"/>
              </w:rPr>
              <w:t>考核标准</w:t>
            </w:r>
          </w:p>
        </w:tc>
        <w:tc>
          <w:tcPr>
            <w:tcW w:w="1131" w:type="dxa"/>
            <w:vAlign w:val="center"/>
          </w:tcPr>
          <w:p>
            <w:pPr>
              <w:spacing w:line="300" w:lineRule="auto"/>
              <w:jc w:val="center"/>
              <w:rPr>
                <w:rFonts w:ascii="Calibri" w:hAnsi="Calibri"/>
              </w:rPr>
            </w:pPr>
            <w:r>
              <w:rPr>
                <w:rFonts w:hint="eastAsia" w:ascii="Calibri" w:hAnsi="Calibri"/>
              </w:rPr>
              <w:t>考核得分</w:t>
            </w:r>
          </w:p>
        </w:tc>
        <w:tc>
          <w:tcPr>
            <w:tcW w:w="771" w:type="dxa"/>
            <w:vAlign w:val="center"/>
          </w:tcPr>
          <w:p>
            <w:pPr>
              <w:spacing w:line="300" w:lineRule="auto"/>
              <w:jc w:val="center"/>
              <w:rPr>
                <w:rFonts w:ascii="Calibri" w:hAnsi="Calibri"/>
              </w:rPr>
            </w:pPr>
            <w:r>
              <w:rPr>
                <w:rFonts w:hint="eastAsia" w:ascii="Calibri" w:hAnsi="Calibri"/>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Align w:val="center"/>
          </w:tcPr>
          <w:p>
            <w:pPr>
              <w:spacing w:line="300" w:lineRule="auto"/>
              <w:jc w:val="center"/>
              <w:rPr>
                <w:rFonts w:ascii="Calibri" w:hAnsi="Calibri"/>
              </w:rPr>
            </w:pPr>
          </w:p>
          <w:p>
            <w:pPr>
              <w:spacing w:line="300" w:lineRule="auto"/>
              <w:jc w:val="center"/>
              <w:rPr>
                <w:rFonts w:ascii="Calibri" w:hAnsi="Calibri"/>
              </w:rPr>
            </w:pPr>
            <w:r>
              <w:rPr>
                <w:rFonts w:hint="eastAsia" w:ascii="Calibri" w:hAnsi="Calibri"/>
              </w:rPr>
              <w:t>1</w:t>
            </w:r>
          </w:p>
        </w:tc>
        <w:tc>
          <w:tcPr>
            <w:tcW w:w="1223" w:type="dxa"/>
            <w:vAlign w:val="center"/>
          </w:tcPr>
          <w:p>
            <w:pPr>
              <w:spacing w:line="300" w:lineRule="auto"/>
              <w:jc w:val="center"/>
              <w:rPr>
                <w:rFonts w:ascii="Calibri" w:hAnsi="Calibri"/>
              </w:rPr>
            </w:pPr>
            <w:r>
              <w:rPr>
                <w:rFonts w:hint="eastAsia" w:ascii="Calibri" w:hAnsi="Calibri"/>
              </w:rPr>
              <w:t>维修响应（30分）</w:t>
            </w:r>
          </w:p>
        </w:tc>
        <w:tc>
          <w:tcPr>
            <w:tcW w:w="5896" w:type="dxa"/>
          </w:tcPr>
          <w:p>
            <w:pPr>
              <w:spacing w:line="300" w:lineRule="auto"/>
              <w:rPr>
                <w:rFonts w:ascii="Calibri" w:hAnsi="Calibri"/>
              </w:rPr>
            </w:pPr>
            <w:r>
              <w:rPr>
                <w:rFonts w:hint="eastAsia" w:ascii="Calibri" w:hAnsi="Calibri"/>
              </w:rPr>
              <w:t>提供24小时应急响应，设立响应电话，提供专人服务。接到用户故障通知后立即响应，普通维修接通知后上门维修响应时间不超过1小时；车辆行驶过程中发生应急故障的15分钟内响应，30分钟内到达现场抢修处理（广州市区内）。车辆小修须当日完成，中大修须5日内完成，事故车及疑难故障除外。</w:t>
            </w:r>
          </w:p>
          <w:p>
            <w:pPr>
              <w:pStyle w:val="4"/>
              <w:rPr>
                <w:i/>
                <w:iCs/>
              </w:rPr>
            </w:pPr>
            <w:r>
              <w:rPr>
                <w:rFonts w:hint="eastAsia"/>
              </w:rPr>
              <w:t>未按时效要求完成，一次扣5分，总分30分。</w:t>
            </w:r>
          </w:p>
        </w:tc>
        <w:tc>
          <w:tcPr>
            <w:tcW w:w="1131" w:type="dxa"/>
          </w:tcPr>
          <w:p>
            <w:pPr>
              <w:spacing w:line="300" w:lineRule="auto"/>
              <w:rPr>
                <w:rFonts w:ascii="Calibri" w:hAnsi="Calibri"/>
              </w:rPr>
            </w:pPr>
          </w:p>
        </w:tc>
        <w:tc>
          <w:tcPr>
            <w:tcW w:w="771" w:type="dxa"/>
          </w:tcPr>
          <w:p>
            <w:pPr>
              <w:spacing w:line="300" w:lineRule="auto"/>
              <w:rPr>
                <w:rFonts w:ascii="Calibri" w:hAnsi="Calibr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Merge w:val="restart"/>
            <w:vAlign w:val="center"/>
          </w:tcPr>
          <w:p>
            <w:pPr>
              <w:spacing w:line="300" w:lineRule="auto"/>
              <w:jc w:val="center"/>
              <w:rPr>
                <w:rFonts w:ascii="Calibri" w:hAnsi="Calibri"/>
              </w:rPr>
            </w:pPr>
            <w:r>
              <w:rPr>
                <w:rFonts w:hint="eastAsia" w:ascii="Calibri" w:hAnsi="Calibri"/>
              </w:rPr>
              <w:t>2</w:t>
            </w:r>
          </w:p>
        </w:tc>
        <w:tc>
          <w:tcPr>
            <w:tcW w:w="1223" w:type="dxa"/>
            <w:vMerge w:val="restart"/>
            <w:vAlign w:val="center"/>
          </w:tcPr>
          <w:p>
            <w:pPr>
              <w:spacing w:line="300" w:lineRule="auto"/>
              <w:jc w:val="center"/>
              <w:rPr>
                <w:rFonts w:ascii="Calibri" w:hAnsi="Calibri"/>
              </w:rPr>
            </w:pPr>
            <w:r>
              <w:rPr>
                <w:rFonts w:hint="eastAsia" w:ascii="Calibri" w:hAnsi="Calibri"/>
              </w:rPr>
              <w:t>服务质量（70分）</w:t>
            </w:r>
          </w:p>
        </w:tc>
        <w:tc>
          <w:tcPr>
            <w:tcW w:w="5896" w:type="dxa"/>
          </w:tcPr>
          <w:p>
            <w:pPr>
              <w:spacing w:line="300" w:lineRule="auto"/>
              <w:rPr>
                <w:rFonts w:ascii="Calibri" w:hAnsi="Calibri"/>
              </w:rPr>
            </w:pPr>
            <w:r>
              <w:rPr>
                <w:rFonts w:hint="eastAsia" w:ascii="Calibri" w:hAnsi="Calibri"/>
              </w:rPr>
              <w:t>维修过程中，出现同一故障反复维修的，每出现一次扣1分，总分15分。</w:t>
            </w:r>
          </w:p>
        </w:tc>
        <w:tc>
          <w:tcPr>
            <w:tcW w:w="1131" w:type="dxa"/>
          </w:tcPr>
          <w:p>
            <w:pPr>
              <w:spacing w:line="300" w:lineRule="auto"/>
              <w:rPr>
                <w:rFonts w:ascii="Calibri" w:hAnsi="Calibri"/>
              </w:rPr>
            </w:pPr>
          </w:p>
        </w:tc>
        <w:tc>
          <w:tcPr>
            <w:tcW w:w="771" w:type="dxa"/>
          </w:tcPr>
          <w:p>
            <w:pPr>
              <w:spacing w:line="300" w:lineRule="auto"/>
              <w:rPr>
                <w:rFonts w:ascii="Calibri" w:hAnsi="Calibr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Merge w:val="continue"/>
          </w:tcPr>
          <w:p>
            <w:pPr>
              <w:spacing w:line="300" w:lineRule="auto"/>
              <w:rPr>
                <w:rFonts w:ascii="Calibri" w:hAnsi="Calibri"/>
              </w:rPr>
            </w:pPr>
          </w:p>
        </w:tc>
        <w:tc>
          <w:tcPr>
            <w:tcW w:w="1223" w:type="dxa"/>
            <w:vMerge w:val="continue"/>
          </w:tcPr>
          <w:p>
            <w:pPr>
              <w:spacing w:line="300" w:lineRule="auto"/>
              <w:rPr>
                <w:rFonts w:ascii="Calibri" w:hAnsi="Calibri"/>
              </w:rPr>
            </w:pPr>
          </w:p>
        </w:tc>
        <w:tc>
          <w:tcPr>
            <w:tcW w:w="5896" w:type="dxa"/>
          </w:tcPr>
          <w:p>
            <w:pPr>
              <w:spacing w:line="300" w:lineRule="auto"/>
              <w:rPr>
                <w:rFonts w:ascii="Calibri" w:hAnsi="Calibri"/>
              </w:rPr>
            </w:pPr>
            <w:r>
              <w:rPr>
                <w:rFonts w:hint="eastAsia" w:ascii="Calibri" w:hAnsi="Calibri"/>
              </w:rPr>
              <w:t>未按实际公里数或保养周期（6个月）对车辆定期进行保养的，每出现一次扣5分，总分15分。</w:t>
            </w:r>
          </w:p>
        </w:tc>
        <w:tc>
          <w:tcPr>
            <w:tcW w:w="1131" w:type="dxa"/>
          </w:tcPr>
          <w:p>
            <w:pPr>
              <w:spacing w:line="300" w:lineRule="auto"/>
              <w:rPr>
                <w:rFonts w:ascii="Calibri" w:hAnsi="Calibri"/>
              </w:rPr>
            </w:pPr>
          </w:p>
        </w:tc>
        <w:tc>
          <w:tcPr>
            <w:tcW w:w="771" w:type="dxa"/>
          </w:tcPr>
          <w:p>
            <w:pPr>
              <w:spacing w:line="300" w:lineRule="auto"/>
              <w:rPr>
                <w:rFonts w:ascii="Calibri" w:hAnsi="Calibr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Merge w:val="continue"/>
          </w:tcPr>
          <w:p>
            <w:pPr>
              <w:spacing w:line="300" w:lineRule="auto"/>
              <w:rPr>
                <w:rFonts w:ascii="Calibri" w:hAnsi="Calibri"/>
              </w:rPr>
            </w:pPr>
          </w:p>
        </w:tc>
        <w:tc>
          <w:tcPr>
            <w:tcW w:w="1223" w:type="dxa"/>
            <w:vMerge w:val="continue"/>
          </w:tcPr>
          <w:p>
            <w:pPr>
              <w:spacing w:line="300" w:lineRule="auto"/>
              <w:rPr>
                <w:rFonts w:ascii="Calibri" w:hAnsi="Calibri"/>
              </w:rPr>
            </w:pPr>
          </w:p>
        </w:tc>
        <w:tc>
          <w:tcPr>
            <w:tcW w:w="5896" w:type="dxa"/>
          </w:tcPr>
          <w:p>
            <w:pPr>
              <w:spacing w:line="300" w:lineRule="auto"/>
              <w:rPr>
                <w:rFonts w:ascii="Calibri" w:hAnsi="Calibri"/>
              </w:rPr>
            </w:pPr>
            <w:r>
              <w:rPr>
                <w:rFonts w:hint="eastAsia"/>
              </w:rPr>
              <w:t>未每月向采购人报送详细车辆维修记录的，</w:t>
            </w:r>
            <w:r>
              <w:rPr>
                <w:rFonts w:hint="eastAsia" w:ascii="Calibri" w:hAnsi="Calibri"/>
              </w:rPr>
              <w:t>每出现一次扣2分，总分10分。</w:t>
            </w:r>
          </w:p>
        </w:tc>
        <w:tc>
          <w:tcPr>
            <w:tcW w:w="1131" w:type="dxa"/>
          </w:tcPr>
          <w:p>
            <w:pPr>
              <w:spacing w:line="300" w:lineRule="auto"/>
              <w:rPr>
                <w:rFonts w:ascii="Calibri" w:hAnsi="Calibri"/>
              </w:rPr>
            </w:pPr>
          </w:p>
        </w:tc>
        <w:tc>
          <w:tcPr>
            <w:tcW w:w="771" w:type="dxa"/>
          </w:tcPr>
          <w:p>
            <w:pPr>
              <w:spacing w:line="300" w:lineRule="auto"/>
              <w:rPr>
                <w:rFonts w:ascii="Calibri" w:hAnsi="Calibr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Merge w:val="continue"/>
          </w:tcPr>
          <w:p>
            <w:pPr>
              <w:spacing w:line="300" w:lineRule="auto"/>
              <w:rPr>
                <w:rFonts w:ascii="Calibri" w:hAnsi="Calibri"/>
              </w:rPr>
            </w:pPr>
          </w:p>
        </w:tc>
        <w:tc>
          <w:tcPr>
            <w:tcW w:w="1223" w:type="dxa"/>
            <w:vMerge w:val="continue"/>
          </w:tcPr>
          <w:p>
            <w:pPr>
              <w:spacing w:line="300" w:lineRule="auto"/>
              <w:rPr>
                <w:rFonts w:ascii="Calibri" w:hAnsi="Calibri"/>
              </w:rPr>
            </w:pPr>
          </w:p>
        </w:tc>
        <w:tc>
          <w:tcPr>
            <w:tcW w:w="5896" w:type="dxa"/>
          </w:tcPr>
          <w:p>
            <w:pPr>
              <w:spacing w:line="300" w:lineRule="auto"/>
            </w:pPr>
            <w:r>
              <w:rPr>
                <w:rFonts w:hint="eastAsia" w:ascii="Calibri" w:hAnsi="Calibri"/>
              </w:rPr>
              <w:t>维修过程中，出现应修而未修情况的，每出现一次扣2分，总分10分。</w:t>
            </w:r>
          </w:p>
        </w:tc>
        <w:tc>
          <w:tcPr>
            <w:tcW w:w="1131" w:type="dxa"/>
          </w:tcPr>
          <w:p>
            <w:pPr>
              <w:spacing w:line="300" w:lineRule="auto"/>
              <w:rPr>
                <w:rFonts w:ascii="Calibri" w:hAnsi="Calibri"/>
              </w:rPr>
            </w:pPr>
          </w:p>
        </w:tc>
        <w:tc>
          <w:tcPr>
            <w:tcW w:w="771" w:type="dxa"/>
          </w:tcPr>
          <w:p>
            <w:pPr>
              <w:spacing w:line="300" w:lineRule="auto"/>
              <w:rPr>
                <w:rFonts w:ascii="Calibri" w:hAnsi="Calibr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Merge w:val="continue"/>
          </w:tcPr>
          <w:p>
            <w:pPr>
              <w:spacing w:line="300" w:lineRule="auto"/>
              <w:rPr>
                <w:rFonts w:ascii="Calibri" w:hAnsi="Calibri"/>
              </w:rPr>
            </w:pPr>
          </w:p>
        </w:tc>
        <w:tc>
          <w:tcPr>
            <w:tcW w:w="1223" w:type="dxa"/>
            <w:vMerge w:val="continue"/>
          </w:tcPr>
          <w:p>
            <w:pPr>
              <w:spacing w:line="300" w:lineRule="auto"/>
              <w:rPr>
                <w:rFonts w:ascii="Calibri" w:hAnsi="Calibri"/>
              </w:rPr>
            </w:pPr>
          </w:p>
        </w:tc>
        <w:tc>
          <w:tcPr>
            <w:tcW w:w="5896" w:type="dxa"/>
          </w:tcPr>
          <w:p>
            <w:pPr>
              <w:spacing w:line="300" w:lineRule="auto"/>
              <w:rPr>
                <w:rFonts w:ascii="Calibri" w:hAnsi="Calibri"/>
              </w:rPr>
            </w:pPr>
            <w:r>
              <w:rPr>
                <w:rFonts w:hint="eastAsia" w:ascii="Calibri" w:hAnsi="Calibri"/>
              </w:rPr>
              <w:t>维修过程中，如需更换配件，应更换原厂配件，同时返还所换旧件，未按要求执行的，每出现一次扣2分，总分10分。</w:t>
            </w:r>
          </w:p>
        </w:tc>
        <w:tc>
          <w:tcPr>
            <w:tcW w:w="1131" w:type="dxa"/>
          </w:tcPr>
          <w:p>
            <w:pPr>
              <w:spacing w:line="300" w:lineRule="auto"/>
              <w:rPr>
                <w:rFonts w:ascii="Calibri" w:hAnsi="Calibri"/>
              </w:rPr>
            </w:pPr>
          </w:p>
        </w:tc>
        <w:tc>
          <w:tcPr>
            <w:tcW w:w="771" w:type="dxa"/>
          </w:tcPr>
          <w:p>
            <w:pPr>
              <w:spacing w:line="300" w:lineRule="auto"/>
              <w:rPr>
                <w:rFonts w:ascii="Calibri" w:hAnsi="Calibr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6" w:type="dxa"/>
            <w:vMerge w:val="continue"/>
          </w:tcPr>
          <w:p>
            <w:pPr>
              <w:spacing w:line="300" w:lineRule="auto"/>
              <w:rPr>
                <w:rFonts w:ascii="Calibri" w:hAnsi="Calibri"/>
              </w:rPr>
            </w:pPr>
          </w:p>
        </w:tc>
        <w:tc>
          <w:tcPr>
            <w:tcW w:w="1223" w:type="dxa"/>
            <w:vMerge w:val="continue"/>
          </w:tcPr>
          <w:p>
            <w:pPr>
              <w:spacing w:line="300" w:lineRule="auto"/>
              <w:rPr>
                <w:rFonts w:ascii="Calibri" w:hAnsi="Calibri"/>
              </w:rPr>
            </w:pPr>
          </w:p>
        </w:tc>
        <w:tc>
          <w:tcPr>
            <w:tcW w:w="5896" w:type="dxa"/>
          </w:tcPr>
          <w:p>
            <w:pPr>
              <w:spacing w:line="300" w:lineRule="auto"/>
              <w:rPr>
                <w:rFonts w:ascii="Calibri" w:hAnsi="Calibri"/>
              </w:rPr>
            </w:pPr>
            <w:r>
              <w:rPr>
                <w:rFonts w:hint="eastAsia" w:ascii="Calibri" w:hAnsi="Calibri"/>
              </w:rPr>
              <w:t>服务期内，因对维修质量及服务不满意而产生投诉的，每出现一次扣2分，总分10分。</w:t>
            </w:r>
          </w:p>
        </w:tc>
        <w:tc>
          <w:tcPr>
            <w:tcW w:w="1131" w:type="dxa"/>
          </w:tcPr>
          <w:p>
            <w:pPr>
              <w:spacing w:line="300" w:lineRule="auto"/>
              <w:rPr>
                <w:rFonts w:ascii="Calibri" w:hAnsi="Calibri"/>
              </w:rPr>
            </w:pPr>
          </w:p>
        </w:tc>
        <w:tc>
          <w:tcPr>
            <w:tcW w:w="771" w:type="dxa"/>
          </w:tcPr>
          <w:p>
            <w:pPr>
              <w:spacing w:line="300" w:lineRule="auto"/>
              <w:rPr>
                <w:rFonts w:ascii="Calibri" w:hAnsi="Calibri"/>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57" w:type="dxa"/>
            <w:gridSpan w:val="5"/>
          </w:tcPr>
          <w:p>
            <w:pPr>
              <w:spacing w:line="300" w:lineRule="auto"/>
              <w:rPr>
                <w:rFonts w:ascii="Calibri" w:hAnsi="Calibri"/>
              </w:rPr>
            </w:pPr>
          </w:p>
          <w:p>
            <w:pPr>
              <w:spacing w:line="300" w:lineRule="auto"/>
              <w:rPr>
                <w:rFonts w:ascii="Calibri" w:hAnsi="Calibri"/>
              </w:rPr>
            </w:pPr>
            <w:r>
              <w:rPr>
                <w:rFonts w:hint="eastAsia" w:ascii="Calibri" w:hAnsi="Calibri"/>
              </w:rPr>
              <w:t>考核人员：                                                        考核日期：</w:t>
            </w:r>
          </w:p>
        </w:tc>
      </w:tr>
      <w:bookmarkEnd w:id="0"/>
      <w:bookmarkEnd w:id="1"/>
      <w:bookmarkEnd w:id="2"/>
    </w:tbl>
    <w:p/>
    <w:p>
      <w:pPr>
        <w:rPr>
          <w:rFonts w:ascii="Tahoma" w:hAnsi="Tahoma" w:eastAsia="微软雅黑"/>
          <w:bCs/>
          <w:kern w:val="44"/>
          <w:sz w:val="44"/>
          <w:szCs w:val="44"/>
        </w:rPr>
      </w:pPr>
    </w:p>
    <w:p>
      <w:pPr>
        <w:pStyle w:val="2"/>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2ZDgyMjdhYjZjYzYyYzFkZDNiZTk0NmI2MmYzNDAifQ=="/>
  </w:docVars>
  <w:rsids>
    <w:rsidRoot w:val="53221A1D"/>
    <w:rsid w:val="53221A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3"/>
    <w:next w:val="1"/>
    <w:qFormat/>
    <w:uiPriority w:val="0"/>
    <w:pPr>
      <w:spacing w:before="340" w:after="330" w:line="578" w:lineRule="auto"/>
      <w:outlineLvl w:val="0"/>
    </w:pPr>
    <w:rPr>
      <w:rFonts w:ascii="Tahoma" w:hAnsi="Tahoma"/>
      <w:b w:val="0"/>
      <w:bCs/>
      <w:kern w:val="44"/>
      <w:sz w:val="44"/>
      <w:szCs w:val="44"/>
    </w:rPr>
  </w:style>
  <w:style w:type="paragraph" w:styleId="3">
    <w:name w:val="heading 3"/>
    <w:basedOn w:val="1"/>
    <w:next w:val="1"/>
    <w:qFormat/>
    <w:uiPriority w:val="0"/>
    <w:pPr>
      <w:keepNext/>
      <w:keepLines/>
      <w:widowControl/>
      <w:adjustRightInd w:val="0"/>
      <w:snapToGrid w:val="0"/>
      <w:spacing w:before="260" w:after="260" w:line="400" w:lineRule="exact"/>
      <w:jc w:val="left"/>
      <w:outlineLvl w:val="2"/>
    </w:pPr>
    <w:rPr>
      <w:rFonts w:ascii="宋体" w:hAnsi="宋体" w:eastAsia="微软雅黑"/>
      <w:b/>
      <w:kern w:val="0"/>
      <w:sz w:val="24"/>
      <w:szCs w:val="20"/>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Body Text"/>
    <w:basedOn w:val="1"/>
    <w:unhideWhenUsed/>
    <w:qFormat/>
    <w:uiPriority w:val="99"/>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2024-06-03T01:35:00Z</dcterms:created>
  <dc:creator>许静敏。</dc:creator>
  <cp:lastModifiedBy>许静敏。</cp:lastModifiedBy>
  <dcterms:modified xsi:type="dcterms:W3CDTF">2024-06-03T01:36:24Z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4E852FEA6E5C4D4AAF23D3E40337B31B_11</vt:lpwstr>
  </property>
</Properties>
</file>